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7E" w:rsidRPr="005F4D45" w:rsidRDefault="0084207E" w:rsidP="0084207E">
      <w:pPr>
        <w:pStyle w:val="Default"/>
        <w:spacing w:line="276" w:lineRule="auto"/>
        <w:jc w:val="center"/>
        <w:rPr>
          <w:rFonts w:ascii="Calibri" w:hAnsi="Calibri"/>
          <w:sz w:val="20"/>
          <w:szCs w:val="20"/>
          <w:lang w:val="en-US"/>
        </w:rPr>
      </w:pPr>
      <w:r>
        <w:rPr>
          <w:b/>
          <w:noProof/>
          <w:lang w:eastAsia="el-GR"/>
        </w:rPr>
        <w:drawing>
          <wp:inline distT="0" distB="0" distL="0" distR="0">
            <wp:extent cx="5505450" cy="781050"/>
            <wp:effectExtent l="19050" t="0" r="0" b="0"/>
            <wp:docPr id="1" name="Εικόνα 1" descr="osekyp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yp_logo-4"/>
                    <pic:cNvPicPr>
                      <a:picLocks noChangeAspect="1" noChangeArrowheads="1"/>
                    </pic:cNvPicPr>
                  </pic:nvPicPr>
                  <pic:blipFill>
                    <a:blip r:embed="rId8" cstate="print"/>
                    <a:srcRect/>
                    <a:stretch>
                      <a:fillRect/>
                    </a:stretch>
                  </pic:blipFill>
                  <pic:spPr bwMode="auto">
                    <a:xfrm>
                      <a:off x="0" y="0"/>
                      <a:ext cx="5505450" cy="781050"/>
                    </a:xfrm>
                    <a:prstGeom prst="rect">
                      <a:avLst/>
                    </a:prstGeom>
                    <a:gradFill rotWithShape="1">
                      <a:gsLst>
                        <a:gs pos="0">
                          <a:srgbClr val="000082"/>
                        </a:gs>
                        <a:gs pos="30000">
                          <a:srgbClr val="66008F"/>
                        </a:gs>
                        <a:gs pos="64999">
                          <a:srgbClr val="BA0066"/>
                        </a:gs>
                        <a:gs pos="89999">
                          <a:srgbClr val="FF0000"/>
                        </a:gs>
                        <a:gs pos="100000">
                          <a:srgbClr val="FF8200"/>
                        </a:gs>
                      </a:gsLst>
                      <a:lin ang="5400000" scaled="1"/>
                    </a:gradFill>
                    <a:ln w="9525">
                      <a:noFill/>
                      <a:miter lim="800000"/>
                      <a:headEnd/>
                      <a:tailEnd/>
                    </a:ln>
                  </pic:spPr>
                </pic:pic>
              </a:graphicData>
            </a:graphic>
          </wp:inline>
        </w:drawing>
      </w:r>
    </w:p>
    <w:p w:rsidR="0084207E" w:rsidRPr="00A10E7E" w:rsidRDefault="0084207E" w:rsidP="0084207E">
      <w:pPr>
        <w:pStyle w:val="Default"/>
        <w:jc w:val="center"/>
        <w:rPr>
          <w:rFonts w:ascii="Calibri" w:hAnsi="Calibri"/>
          <w:sz w:val="20"/>
          <w:szCs w:val="20"/>
        </w:rPr>
      </w:pPr>
      <w:r>
        <w:rPr>
          <w:rFonts w:ascii="Calibri" w:hAnsi="Calibri"/>
          <w:sz w:val="20"/>
          <w:szCs w:val="20"/>
        </w:rPr>
        <w:t>Ανδρέα Παπανδρέου 37, 15180 Μαρούσι</w:t>
      </w:r>
    </w:p>
    <w:p w:rsidR="0084207E" w:rsidRDefault="00463949" w:rsidP="0084207E">
      <w:pPr>
        <w:pStyle w:val="Default"/>
        <w:jc w:val="center"/>
        <w:rPr>
          <w:rFonts w:ascii="Calibri" w:hAnsi="Calibri"/>
          <w:sz w:val="20"/>
          <w:szCs w:val="20"/>
        </w:rPr>
      </w:pPr>
      <w:hyperlink r:id="rId9" w:history="1">
        <w:r w:rsidR="0084207E" w:rsidRPr="006B73A3">
          <w:rPr>
            <w:rStyle w:val="-"/>
            <w:rFonts w:ascii="Calibri" w:hAnsi="Calibri"/>
            <w:sz w:val="20"/>
            <w:szCs w:val="20"/>
            <w:lang w:val="en-US"/>
          </w:rPr>
          <w:t>http</w:t>
        </w:r>
        <w:r w:rsidR="0084207E" w:rsidRPr="006B73A3">
          <w:rPr>
            <w:rStyle w:val="-"/>
            <w:rFonts w:ascii="Calibri" w:hAnsi="Calibri"/>
            <w:sz w:val="20"/>
            <w:szCs w:val="20"/>
          </w:rPr>
          <w:t>://</w:t>
        </w:r>
        <w:r w:rsidR="0084207E" w:rsidRPr="006B73A3">
          <w:rPr>
            <w:rStyle w:val="-"/>
            <w:rFonts w:ascii="Calibri" w:hAnsi="Calibri"/>
            <w:sz w:val="20"/>
            <w:szCs w:val="20"/>
            <w:lang w:val="en-US"/>
          </w:rPr>
          <w:t>www</w:t>
        </w:r>
        <w:r w:rsidR="0084207E" w:rsidRPr="006B73A3">
          <w:rPr>
            <w:rStyle w:val="-"/>
            <w:rFonts w:ascii="Calibri" w:hAnsi="Calibri"/>
            <w:sz w:val="20"/>
            <w:szCs w:val="20"/>
          </w:rPr>
          <w:t>.</w:t>
        </w:r>
        <w:r w:rsidR="0084207E" w:rsidRPr="006B73A3">
          <w:rPr>
            <w:rStyle w:val="-"/>
            <w:rFonts w:ascii="Calibri" w:hAnsi="Calibri"/>
            <w:sz w:val="20"/>
            <w:szCs w:val="20"/>
            <w:lang w:val="en-US"/>
          </w:rPr>
          <w:t>osekdyp</w:t>
        </w:r>
        <w:r w:rsidR="0084207E" w:rsidRPr="006B73A3">
          <w:rPr>
            <w:rStyle w:val="-"/>
            <w:rFonts w:ascii="Calibri" w:hAnsi="Calibri"/>
            <w:sz w:val="20"/>
            <w:szCs w:val="20"/>
          </w:rPr>
          <w:t>.</w:t>
        </w:r>
        <w:r w:rsidR="0084207E" w:rsidRPr="006B73A3">
          <w:rPr>
            <w:rStyle w:val="-"/>
            <w:rFonts w:ascii="Calibri" w:hAnsi="Calibri"/>
            <w:sz w:val="20"/>
            <w:szCs w:val="20"/>
            <w:lang w:val="en-US"/>
          </w:rPr>
          <w:t>gr</w:t>
        </w:r>
      </w:hyperlink>
      <w:r w:rsidR="0084207E">
        <w:rPr>
          <w:rFonts w:ascii="Calibri" w:hAnsi="Calibri"/>
          <w:sz w:val="20"/>
          <w:szCs w:val="20"/>
        </w:rPr>
        <w:tab/>
        <w:t>Ε</w:t>
      </w:r>
      <w:r w:rsidR="0084207E">
        <w:rPr>
          <w:rFonts w:ascii="Calibri" w:hAnsi="Calibri"/>
          <w:sz w:val="20"/>
          <w:szCs w:val="20"/>
          <w:lang w:val="en-US"/>
        </w:rPr>
        <w:t>mail</w:t>
      </w:r>
      <w:r w:rsidR="0084207E" w:rsidRPr="00A10E7E">
        <w:rPr>
          <w:rFonts w:ascii="Calibri" w:hAnsi="Calibri"/>
          <w:sz w:val="20"/>
          <w:szCs w:val="20"/>
        </w:rPr>
        <w:t>:</w:t>
      </w:r>
      <w:r w:rsidR="0084207E">
        <w:rPr>
          <w:rFonts w:ascii="Calibri" w:hAnsi="Calibri"/>
          <w:sz w:val="20"/>
          <w:szCs w:val="20"/>
        </w:rPr>
        <w:t xml:space="preserve"> </w:t>
      </w:r>
      <w:hyperlink r:id="rId10" w:history="1">
        <w:r w:rsidR="0084207E" w:rsidRPr="006B73A3">
          <w:rPr>
            <w:rStyle w:val="-"/>
            <w:rFonts w:ascii="Calibri" w:hAnsi="Calibri"/>
            <w:sz w:val="20"/>
            <w:szCs w:val="20"/>
            <w:lang w:val="en-US"/>
          </w:rPr>
          <w:t>omospondia</w:t>
        </w:r>
        <w:r w:rsidR="0084207E" w:rsidRPr="006B73A3">
          <w:rPr>
            <w:rStyle w:val="-"/>
            <w:rFonts w:ascii="Calibri" w:hAnsi="Calibri"/>
            <w:sz w:val="20"/>
            <w:szCs w:val="20"/>
          </w:rPr>
          <w:t>@</w:t>
        </w:r>
        <w:r w:rsidR="0084207E" w:rsidRPr="006B73A3">
          <w:rPr>
            <w:rStyle w:val="-"/>
            <w:rFonts w:ascii="Calibri" w:hAnsi="Calibri"/>
            <w:sz w:val="20"/>
            <w:szCs w:val="20"/>
            <w:lang w:val="en-US"/>
          </w:rPr>
          <w:t>minedu</w:t>
        </w:r>
        <w:r w:rsidR="0084207E" w:rsidRPr="006B73A3">
          <w:rPr>
            <w:rStyle w:val="-"/>
            <w:rFonts w:ascii="Calibri" w:hAnsi="Calibri"/>
            <w:sz w:val="20"/>
            <w:szCs w:val="20"/>
          </w:rPr>
          <w:t>.</w:t>
        </w:r>
        <w:r w:rsidR="0084207E" w:rsidRPr="006B73A3">
          <w:rPr>
            <w:rStyle w:val="-"/>
            <w:rFonts w:ascii="Calibri" w:hAnsi="Calibri"/>
            <w:sz w:val="20"/>
            <w:szCs w:val="20"/>
            <w:lang w:val="en-US"/>
          </w:rPr>
          <w:t>gov</w:t>
        </w:r>
        <w:r w:rsidR="0084207E" w:rsidRPr="006B73A3">
          <w:rPr>
            <w:rStyle w:val="-"/>
            <w:rFonts w:ascii="Calibri" w:hAnsi="Calibri"/>
            <w:sz w:val="20"/>
            <w:szCs w:val="20"/>
          </w:rPr>
          <w:t>.</w:t>
        </w:r>
        <w:r w:rsidR="0084207E" w:rsidRPr="006B73A3">
          <w:rPr>
            <w:rStyle w:val="-"/>
            <w:rFonts w:ascii="Calibri" w:hAnsi="Calibri"/>
            <w:sz w:val="20"/>
            <w:szCs w:val="20"/>
            <w:lang w:val="en-US"/>
          </w:rPr>
          <w:t>gr</w:t>
        </w:r>
      </w:hyperlink>
    </w:p>
    <w:p w:rsidR="0084207E" w:rsidRPr="00C855A3" w:rsidRDefault="0084207E" w:rsidP="0084207E">
      <w:pPr>
        <w:rPr>
          <w:b/>
          <w:bCs/>
          <w:sz w:val="24"/>
          <w:szCs w:val="24"/>
        </w:rPr>
      </w:pPr>
    </w:p>
    <w:p w:rsidR="0084207E" w:rsidRDefault="0084207E" w:rsidP="0084207E">
      <w:pPr>
        <w:spacing w:after="0" w:line="240" w:lineRule="auto"/>
        <w:rPr>
          <w:b/>
          <w:bCs/>
          <w:sz w:val="24"/>
          <w:szCs w:val="24"/>
        </w:rPr>
      </w:pPr>
      <w:r w:rsidRPr="007E088D">
        <w:rPr>
          <w:b/>
          <w:bCs/>
          <w:sz w:val="24"/>
          <w:szCs w:val="24"/>
        </w:rPr>
        <w:t>4</w:t>
      </w:r>
      <w:r w:rsidRPr="007E088D">
        <w:rPr>
          <w:b/>
          <w:bCs/>
          <w:sz w:val="24"/>
          <w:szCs w:val="24"/>
          <w:vertAlign w:val="superscript"/>
        </w:rPr>
        <w:t>ο</w:t>
      </w:r>
      <w:r>
        <w:rPr>
          <w:b/>
          <w:bCs/>
          <w:sz w:val="24"/>
          <w:szCs w:val="24"/>
        </w:rPr>
        <w:t xml:space="preserve"> Συνέδριο ΟΣΕΚΔΥΠ</w:t>
      </w:r>
    </w:p>
    <w:p w:rsidR="0084207E" w:rsidRPr="007E088D" w:rsidRDefault="0084207E" w:rsidP="0084207E">
      <w:pPr>
        <w:spacing w:after="0" w:line="240" w:lineRule="auto"/>
        <w:rPr>
          <w:b/>
          <w:bCs/>
          <w:sz w:val="24"/>
          <w:szCs w:val="24"/>
        </w:rPr>
      </w:pPr>
      <w:r>
        <w:rPr>
          <w:b/>
          <w:bCs/>
          <w:sz w:val="24"/>
          <w:szCs w:val="24"/>
        </w:rPr>
        <w:t>Αθήνα, 25 Οκτωβρίου 2023</w:t>
      </w:r>
    </w:p>
    <w:p w:rsidR="0084207E" w:rsidRDefault="0084207E">
      <w:pPr>
        <w:rPr>
          <w:sz w:val="24"/>
          <w:szCs w:val="24"/>
        </w:rPr>
      </w:pPr>
    </w:p>
    <w:p w:rsidR="004D6A26" w:rsidRDefault="0084207E" w:rsidP="0084207E">
      <w:pPr>
        <w:spacing w:after="0" w:line="240" w:lineRule="auto"/>
        <w:jc w:val="center"/>
        <w:rPr>
          <w:b/>
          <w:bCs/>
          <w:sz w:val="24"/>
          <w:szCs w:val="24"/>
        </w:rPr>
      </w:pPr>
      <w:r w:rsidRPr="0084207E">
        <w:rPr>
          <w:b/>
          <w:bCs/>
          <w:sz w:val="24"/>
          <w:szCs w:val="24"/>
        </w:rPr>
        <w:t>Ψήφισμα 3</w:t>
      </w:r>
      <w:r w:rsidR="004D6A26" w:rsidRPr="004D6A26">
        <w:rPr>
          <w:b/>
          <w:bCs/>
          <w:sz w:val="24"/>
          <w:szCs w:val="24"/>
          <w:vertAlign w:val="superscript"/>
        </w:rPr>
        <w:t>ο</w:t>
      </w:r>
      <w:r w:rsidR="004D6A26">
        <w:rPr>
          <w:b/>
          <w:bCs/>
          <w:sz w:val="24"/>
          <w:szCs w:val="24"/>
        </w:rPr>
        <w:t xml:space="preserve"> </w:t>
      </w:r>
    </w:p>
    <w:p w:rsidR="003305B2" w:rsidRPr="0084207E" w:rsidRDefault="003C5D91" w:rsidP="0084207E">
      <w:pPr>
        <w:spacing w:after="0" w:line="240" w:lineRule="auto"/>
        <w:jc w:val="center"/>
        <w:rPr>
          <w:sz w:val="24"/>
          <w:szCs w:val="24"/>
        </w:rPr>
      </w:pPr>
      <w:r>
        <w:rPr>
          <w:b/>
          <w:bCs/>
          <w:sz w:val="24"/>
          <w:szCs w:val="24"/>
        </w:rPr>
        <w:t>Γ</w:t>
      </w:r>
      <w:r w:rsidR="0084207E" w:rsidRPr="0084207E">
        <w:rPr>
          <w:b/>
          <w:bCs/>
          <w:sz w:val="24"/>
          <w:szCs w:val="24"/>
        </w:rPr>
        <w:t>ια διακριτό Οργανισμό</w:t>
      </w:r>
      <w:r w:rsidR="003305B2" w:rsidRPr="0084207E">
        <w:rPr>
          <w:b/>
          <w:bCs/>
          <w:sz w:val="24"/>
          <w:szCs w:val="24"/>
        </w:rPr>
        <w:t xml:space="preserve"> της Κεντρικής Υπηρεσίας του Υπουργείου Παιδείας</w:t>
      </w:r>
    </w:p>
    <w:p w:rsidR="0084207E" w:rsidRDefault="0084207E" w:rsidP="00E27CF2">
      <w:pPr>
        <w:ind w:firstLine="720"/>
        <w:jc w:val="both"/>
        <w:rPr>
          <w:sz w:val="24"/>
          <w:szCs w:val="24"/>
        </w:rPr>
      </w:pPr>
    </w:p>
    <w:p w:rsidR="003305B2" w:rsidRPr="00E55648" w:rsidRDefault="006D4D72" w:rsidP="00E27CF2">
      <w:pPr>
        <w:ind w:firstLine="720"/>
        <w:jc w:val="both"/>
        <w:rPr>
          <w:sz w:val="24"/>
          <w:szCs w:val="24"/>
        </w:rPr>
      </w:pPr>
      <w:r w:rsidRPr="00E55648">
        <w:rPr>
          <w:sz w:val="24"/>
          <w:szCs w:val="24"/>
        </w:rPr>
        <w:t xml:space="preserve">Η </w:t>
      </w:r>
      <w:r w:rsidRPr="00E55648">
        <w:rPr>
          <w:b/>
          <w:bCs/>
          <w:sz w:val="24"/>
          <w:szCs w:val="24"/>
        </w:rPr>
        <w:t>κ</w:t>
      </w:r>
      <w:r w:rsidR="008F1688" w:rsidRPr="00E55648">
        <w:rPr>
          <w:b/>
          <w:bCs/>
          <w:sz w:val="24"/>
          <w:szCs w:val="24"/>
        </w:rPr>
        <w:t>ατάργηση της αυτοτέλειας της Κεντρικής Υπηρεσίας του Υπουργείου Παιδείας το 2018</w:t>
      </w:r>
      <w:r w:rsidR="008F1688" w:rsidRPr="00E55648">
        <w:rPr>
          <w:sz w:val="24"/>
          <w:szCs w:val="24"/>
        </w:rPr>
        <w:t xml:space="preserve"> με την δημιουργία ενός κοινού οργανισμού με τις περιφερειακές διοικητικές υπηρεσίες </w:t>
      </w:r>
      <w:r w:rsidRPr="00E55648">
        <w:rPr>
          <w:sz w:val="24"/>
          <w:szCs w:val="24"/>
        </w:rPr>
        <w:t>της εκπαίδευσης, αφενός αντιμετωπίστηκε αρνητικά από την πλειοψηφία των εργαζομένων του χώρου αφετέρου πυροδότησε συνδικαλιστικές εξελίξεις</w:t>
      </w:r>
      <w:r w:rsidR="00B152B3" w:rsidRPr="00B152B3">
        <w:rPr>
          <w:sz w:val="24"/>
          <w:szCs w:val="24"/>
        </w:rPr>
        <w:t xml:space="preserve">. </w:t>
      </w:r>
      <w:r w:rsidR="00B152B3">
        <w:rPr>
          <w:sz w:val="24"/>
          <w:szCs w:val="24"/>
        </w:rPr>
        <w:t>Πιο συγκεκριμένα,</w:t>
      </w:r>
      <w:r w:rsidR="008B025B">
        <w:rPr>
          <w:sz w:val="24"/>
          <w:szCs w:val="24"/>
        </w:rPr>
        <w:t xml:space="preserve"> </w:t>
      </w:r>
      <w:r w:rsidRPr="00E55648">
        <w:rPr>
          <w:sz w:val="24"/>
          <w:szCs w:val="24"/>
        </w:rPr>
        <w:t xml:space="preserve">το έλλειμμα σεβασμού στις θέσεις του πρωτοβάθμιου οργάνου μας (ΣΥΚΥΠ) </w:t>
      </w:r>
      <w:r w:rsidR="008609F0">
        <w:rPr>
          <w:sz w:val="24"/>
          <w:szCs w:val="24"/>
        </w:rPr>
        <w:t xml:space="preserve">από την ΠΟΣΥΠ </w:t>
      </w:r>
      <w:r w:rsidRPr="00E55648">
        <w:rPr>
          <w:sz w:val="24"/>
          <w:szCs w:val="24"/>
        </w:rPr>
        <w:t xml:space="preserve">οδήγησε </w:t>
      </w:r>
      <w:r w:rsidR="008609F0">
        <w:rPr>
          <w:sz w:val="24"/>
          <w:szCs w:val="24"/>
        </w:rPr>
        <w:t>στην αποχώρησή μας από αυτή</w:t>
      </w:r>
      <w:r w:rsidRPr="00E55648">
        <w:rPr>
          <w:sz w:val="24"/>
          <w:szCs w:val="24"/>
        </w:rPr>
        <w:t xml:space="preserve"> και στη δημιουργία νέας Ομοσπονδίας που </w:t>
      </w:r>
      <w:r w:rsidR="00FF50E1" w:rsidRPr="00E55648">
        <w:rPr>
          <w:sz w:val="24"/>
          <w:szCs w:val="24"/>
        </w:rPr>
        <w:t>εκπροσωπεί</w:t>
      </w:r>
      <w:r w:rsidRPr="00E55648">
        <w:rPr>
          <w:sz w:val="24"/>
          <w:szCs w:val="24"/>
        </w:rPr>
        <w:t xml:space="preserve"> τις κεντρικές δομές διοίκησης του χώρου (ΟΣΕΚΔΥΠ).</w:t>
      </w:r>
    </w:p>
    <w:p w:rsidR="00FF50E1" w:rsidRPr="00E55648" w:rsidRDefault="00FE593E" w:rsidP="00E27CF2">
      <w:pPr>
        <w:ind w:firstLine="720"/>
        <w:jc w:val="both"/>
        <w:rPr>
          <w:sz w:val="24"/>
          <w:szCs w:val="24"/>
        </w:rPr>
      </w:pPr>
      <w:r w:rsidRPr="00E55648">
        <w:rPr>
          <w:sz w:val="24"/>
          <w:szCs w:val="24"/>
        </w:rPr>
        <w:t>Έκτοτε κεντρικό αίτημα της ΟΣΕΚΔΥΠ αποτελεί η αλλαγή του ισχύοντος οργανογράμματος και η επαναφορά της αυτοτέλειας της Κεντρικής Υπηρεσίας.</w:t>
      </w:r>
      <w:r w:rsidR="008609F0">
        <w:rPr>
          <w:b/>
          <w:bCs/>
          <w:sz w:val="24"/>
          <w:szCs w:val="24"/>
        </w:rPr>
        <w:t xml:space="preserve"> </w:t>
      </w:r>
      <w:r w:rsidR="00FF50E1" w:rsidRPr="00E55648">
        <w:rPr>
          <w:sz w:val="24"/>
          <w:szCs w:val="24"/>
        </w:rPr>
        <w:t>Προκειμένου να καταστεί σαφές γιατί το θέμα είναι σημαντικό θα επιχειρήσουμε συνοπτικά να παρουσιάσουμε γ</w:t>
      </w:r>
      <w:r w:rsidR="008609F0">
        <w:rPr>
          <w:sz w:val="24"/>
          <w:szCs w:val="24"/>
        </w:rPr>
        <w:t>ιατί δεν είναι διοικητικά λειτουργικό</w:t>
      </w:r>
      <w:r w:rsidR="00FF50E1" w:rsidRPr="00E55648">
        <w:rPr>
          <w:sz w:val="24"/>
          <w:szCs w:val="24"/>
        </w:rPr>
        <w:t xml:space="preserve"> να βρίσκονται υπό κοινό οργανισμό η </w:t>
      </w:r>
      <w:r w:rsidR="00B77957" w:rsidRPr="00E55648">
        <w:rPr>
          <w:sz w:val="24"/>
          <w:szCs w:val="24"/>
        </w:rPr>
        <w:t>Κ</w:t>
      </w:r>
      <w:r w:rsidR="00FF50E1" w:rsidRPr="00E55648">
        <w:rPr>
          <w:sz w:val="24"/>
          <w:szCs w:val="24"/>
        </w:rPr>
        <w:t xml:space="preserve">εντρική </w:t>
      </w:r>
      <w:r w:rsidR="00B77957" w:rsidRPr="00E55648">
        <w:rPr>
          <w:sz w:val="24"/>
          <w:szCs w:val="24"/>
        </w:rPr>
        <w:t>Υ</w:t>
      </w:r>
      <w:r w:rsidR="00FF50E1" w:rsidRPr="00E55648">
        <w:rPr>
          <w:sz w:val="24"/>
          <w:szCs w:val="24"/>
        </w:rPr>
        <w:t xml:space="preserve">πηρεσία του Υπουργείου Παιδείας με τις </w:t>
      </w:r>
      <w:r w:rsidR="00E55648">
        <w:rPr>
          <w:sz w:val="24"/>
          <w:szCs w:val="24"/>
        </w:rPr>
        <w:t>Π</w:t>
      </w:r>
      <w:r w:rsidR="00FF50E1" w:rsidRPr="00E55648">
        <w:rPr>
          <w:sz w:val="24"/>
          <w:szCs w:val="24"/>
        </w:rPr>
        <w:t xml:space="preserve">εριφερειακές </w:t>
      </w:r>
      <w:r w:rsidR="00E55648">
        <w:rPr>
          <w:sz w:val="24"/>
          <w:szCs w:val="24"/>
        </w:rPr>
        <w:t>Υ</w:t>
      </w:r>
      <w:r w:rsidR="00FF50E1" w:rsidRPr="00E55648">
        <w:rPr>
          <w:sz w:val="24"/>
          <w:szCs w:val="24"/>
        </w:rPr>
        <w:t>πηρεσίες</w:t>
      </w:r>
      <w:r w:rsidR="00C92AFF" w:rsidRPr="00E55648">
        <w:rPr>
          <w:sz w:val="24"/>
          <w:szCs w:val="24"/>
        </w:rPr>
        <w:t xml:space="preserve"> της </w:t>
      </w:r>
      <w:r w:rsidR="00B77957" w:rsidRPr="00E55648">
        <w:rPr>
          <w:sz w:val="24"/>
          <w:szCs w:val="24"/>
        </w:rPr>
        <w:t>Ε</w:t>
      </w:r>
      <w:r w:rsidR="00C92AFF" w:rsidRPr="00E55648">
        <w:rPr>
          <w:sz w:val="24"/>
          <w:szCs w:val="24"/>
        </w:rPr>
        <w:t>κπαίδευσης</w:t>
      </w:r>
      <w:r w:rsidR="00FF50E1" w:rsidRPr="00E55648">
        <w:rPr>
          <w:sz w:val="24"/>
          <w:szCs w:val="24"/>
        </w:rPr>
        <w:t xml:space="preserve">. </w:t>
      </w:r>
    </w:p>
    <w:p w:rsidR="00E27CF2" w:rsidRPr="00E55648" w:rsidRDefault="00E27CF2" w:rsidP="00E27CF2">
      <w:pPr>
        <w:pStyle w:val="a3"/>
        <w:numPr>
          <w:ilvl w:val="0"/>
          <w:numId w:val="5"/>
        </w:numPr>
        <w:jc w:val="both"/>
        <w:rPr>
          <w:b/>
          <w:bCs/>
          <w:sz w:val="24"/>
          <w:szCs w:val="24"/>
        </w:rPr>
      </w:pPr>
      <w:r w:rsidRPr="00E55648">
        <w:rPr>
          <w:b/>
          <w:bCs/>
          <w:sz w:val="24"/>
          <w:szCs w:val="24"/>
        </w:rPr>
        <w:t>Γιατί είναι σημαντικό το οργανόγραμμα;</w:t>
      </w:r>
    </w:p>
    <w:p w:rsidR="00924C66" w:rsidRPr="00E55648" w:rsidRDefault="00924C66" w:rsidP="00E27CF2">
      <w:pPr>
        <w:ind w:firstLine="720"/>
        <w:jc w:val="both"/>
        <w:rPr>
          <w:sz w:val="24"/>
          <w:szCs w:val="24"/>
        </w:rPr>
      </w:pPr>
      <w:r w:rsidRPr="00E55648">
        <w:rPr>
          <w:sz w:val="24"/>
          <w:szCs w:val="24"/>
        </w:rPr>
        <w:t xml:space="preserve">Αρχικά, πρέπει να ειπωθεί ότι </w:t>
      </w:r>
      <w:r w:rsidRPr="00E55648">
        <w:rPr>
          <w:b/>
          <w:bCs/>
          <w:sz w:val="24"/>
          <w:szCs w:val="24"/>
        </w:rPr>
        <w:t>το οργανόγραμμα μιας υπηρεσίας είναι σημαντ</w:t>
      </w:r>
      <w:r w:rsidR="008609F0">
        <w:rPr>
          <w:b/>
          <w:bCs/>
          <w:sz w:val="24"/>
          <w:szCs w:val="24"/>
        </w:rPr>
        <w:t>ικό στοιχείο της λειτουργίας της</w:t>
      </w:r>
      <w:r w:rsidRPr="00E55648">
        <w:rPr>
          <w:sz w:val="24"/>
          <w:szCs w:val="24"/>
        </w:rPr>
        <w:t xml:space="preserve"> καθώς «βασικός σκοπός του οργανογράμματος είναι να κάνει ορατή τη βασική δομή της οργάνωσης έτσι ώστε να γίνεται αντιληπτή, γνωστή και συνεπώς σεβαστή από τα μέλη και το περιβάλλον της…και αποτελεί τη σχηματική παρουσίαση των αποφάσεων που ελήφθησαν στα πλαίσια του οργανωτικού σχεδιασμού» (</w:t>
      </w:r>
      <w:proofErr w:type="spellStart"/>
      <w:r w:rsidRPr="00E55648">
        <w:rPr>
          <w:sz w:val="24"/>
          <w:szCs w:val="24"/>
        </w:rPr>
        <w:t>Παπαλεξανδρή</w:t>
      </w:r>
      <w:proofErr w:type="spellEnd"/>
      <w:r w:rsidRPr="00E55648">
        <w:rPr>
          <w:sz w:val="24"/>
          <w:szCs w:val="24"/>
        </w:rPr>
        <w:t xml:space="preserve"> &amp; </w:t>
      </w:r>
      <w:proofErr w:type="spellStart"/>
      <w:r w:rsidRPr="00E55648">
        <w:rPr>
          <w:sz w:val="24"/>
          <w:szCs w:val="24"/>
        </w:rPr>
        <w:t>Μπουραντάς</w:t>
      </w:r>
      <w:proofErr w:type="spellEnd"/>
      <w:r w:rsidRPr="00E55648">
        <w:rPr>
          <w:sz w:val="24"/>
          <w:szCs w:val="24"/>
        </w:rPr>
        <w:t xml:space="preserve">, 2016: 182). Η δομή του οργανισμού έχει σημαντικό </w:t>
      </w:r>
      <w:r w:rsidR="008609F0">
        <w:rPr>
          <w:sz w:val="24"/>
          <w:szCs w:val="24"/>
        </w:rPr>
        <w:t xml:space="preserve">αντίκτυπο στη συμπεριφορά  και </w:t>
      </w:r>
      <w:r w:rsidRPr="00E55648">
        <w:rPr>
          <w:sz w:val="24"/>
          <w:szCs w:val="24"/>
        </w:rPr>
        <w:t xml:space="preserve"> καθορίζει τον τρόπο με τον οποίο </w:t>
      </w:r>
      <w:r w:rsidR="0015192A" w:rsidRPr="00E55648">
        <w:rPr>
          <w:sz w:val="24"/>
          <w:szCs w:val="24"/>
        </w:rPr>
        <w:t>διαχωρίζονται και συντονίζονται οι εργασίες (</w:t>
      </w:r>
      <w:r w:rsidR="0015192A" w:rsidRPr="00E55648">
        <w:rPr>
          <w:sz w:val="24"/>
          <w:szCs w:val="24"/>
          <w:lang w:val="en-US"/>
        </w:rPr>
        <w:t>Robbins</w:t>
      </w:r>
      <w:r w:rsidR="0015192A" w:rsidRPr="00E55648">
        <w:rPr>
          <w:sz w:val="24"/>
          <w:szCs w:val="24"/>
        </w:rPr>
        <w:t xml:space="preserve"> &amp; </w:t>
      </w:r>
      <w:r w:rsidR="0015192A" w:rsidRPr="00E55648">
        <w:rPr>
          <w:sz w:val="24"/>
          <w:szCs w:val="24"/>
          <w:lang w:val="en-US"/>
        </w:rPr>
        <w:t>Judge</w:t>
      </w:r>
      <w:r w:rsidR="0015192A" w:rsidRPr="00E55648">
        <w:rPr>
          <w:sz w:val="24"/>
          <w:szCs w:val="24"/>
        </w:rPr>
        <w:t>, 2011: 461).</w:t>
      </w:r>
    </w:p>
    <w:p w:rsidR="00261AD2" w:rsidRPr="00E55648" w:rsidRDefault="00261AD2" w:rsidP="00261AD2">
      <w:pPr>
        <w:pStyle w:val="a3"/>
        <w:numPr>
          <w:ilvl w:val="0"/>
          <w:numId w:val="5"/>
        </w:numPr>
        <w:jc w:val="both"/>
        <w:rPr>
          <w:b/>
          <w:bCs/>
          <w:sz w:val="24"/>
          <w:szCs w:val="24"/>
          <w:lang w:val="en-US"/>
        </w:rPr>
      </w:pPr>
      <w:r w:rsidRPr="00E55648">
        <w:rPr>
          <w:b/>
          <w:bCs/>
          <w:sz w:val="24"/>
          <w:szCs w:val="24"/>
        </w:rPr>
        <w:t>Κεντρική και περιφερειακή διοίκηση</w:t>
      </w:r>
    </w:p>
    <w:p w:rsidR="00261AD2" w:rsidRPr="00E55648" w:rsidRDefault="00261AD2" w:rsidP="00261AD2">
      <w:pPr>
        <w:ind w:firstLine="720"/>
        <w:jc w:val="both"/>
        <w:rPr>
          <w:sz w:val="24"/>
          <w:szCs w:val="24"/>
        </w:rPr>
      </w:pPr>
      <w:r w:rsidRPr="00E55648">
        <w:rPr>
          <w:sz w:val="24"/>
          <w:szCs w:val="24"/>
        </w:rPr>
        <w:t xml:space="preserve">Στη Δημόσια Διοίκηση τα </w:t>
      </w:r>
      <w:r w:rsidRPr="00E55648">
        <w:rPr>
          <w:b/>
          <w:bCs/>
          <w:sz w:val="24"/>
          <w:szCs w:val="24"/>
        </w:rPr>
        <w:t>υπουργεία</w:t>
      </w:r>
      <w:r w:rsidRPr="00E55648">
        <w:rPr>
          <w:sz w:val="24"/>
          <w:szCs w:val="24"/>
        </w:rPr>
        <w:t xml:space="preserve"> αναπτύσσουν έναν επιτελικό ρόλο στα αντίστοιχα πεδία της δημόσιας πολιτικής, αποτελούν, δηλαδή,  βασικούς πυλώνες </w:t>
      </w:r>
      <w:r w:rsidRPr="00E55648">
        <w:rPr>
          <w:sz w:val="24"/>
          <w:szCs w:val="24"/>
        </w:rPr>
        <w:lastRenderedPageBreak/>
        <w:t xml:space="preserve">οργάνωσης της κεντρικής διοίκησης του Κράτους και </w:t>
      </w:r>
      <w:r w:rsidRPr="00E55648">
        <w:rPr>
          <w:b/>
          <w:bCs/>
          <w:sz w:val="24"/>
          <w:szCs w:val="24"/>
        </w:rPr>
        <w:t>κύριους συντελεστές στη διαδικασία παραγωγής  και εφαρμογής της δημόσιας πολιτικής</w:t>
      </w:r>
      <w:r w:rsidRPr="00E55648">
        <w:rPr>
          <w:sz w:val="24"/>
          <w:szCs w:val="24"/>
        </w:rPr>
        <w:t xml:space="preserve"> (</w:t>
      </w:r>
      <w:proofErr w:type="spellStart"/>
      <w:r w:rsidRPr="00E55648">
        <w:rPr>
          <w:sz w:val="24"/>
          <w:szCs w:val="24"/>
        </w:rPr>
        <w:t>Μακρυδημήτρης</w:t>
      </w:r>
      <w:proofErr w:type="spellEnd"/>
      <w:r w:rsidRPr="00E55648">
        <w:rPr>
          <w:sz w:val="24"/>
          <w:szCs w:val="24"/>
        </w:rPr>
        <w:t xml:space="preserve"> &amp; </w:t>
      </w:r>
      <w:proofErr w:type="spellStart"/>
      <w:r w:rsidRPr="00E55648">
        <w:rPr>
          <w:sz w:val="24"/>
          <w:szCs w:val="24"/>
        </w:rPr>
        <w:t>Πραβίτα</w:t>
      </w:r>
      <w:proofErr w:type="spellEnd"/>
      <w:r w:rsidRPr="00E55648">
        <w:rPr>
          <w:sz w:val="24"/>
          <w:szCs w:val="24"/>
        </w:rPr>
        <w:t>,  2012: 279)</w:t>
      </w:r>
      <w:r w:rsidR="0066025B" w:rsidRPr="00E55648">
        <w:rPr>
          <w:sz w:val="24"/>
          <w:szCs w:val="24"/>
        </w:rPr>
        <w:t>.</w:t>
      </w:r>
    </w:p>
    <w:p w:rsidR="0066025B" w:rsidRPr="00E55648" w:rsidRDefault="0066025B" w:rsidP="00261AD2">
      <w:pPr>
        <w:ind w:firstLine="720"/>
        <w:jc w:val="both"/>
        <w:rPr>
          <w:sz w:val="24"/>
          <w:szCs w:val="24"/>
        </w:rPr>
      </w:pPr>
      <w:r w:rsidRPr="00E55648">
        <w:rPr>
          <w:sz w:val="24"/>
          <w:szCs w:val="24"/>
        </w:rPr>
        <w:t>Οι ίδιοι μελετητές (2012: 317) επισημαίνουν ότι «</w:t>
      </w:r>
      <w:r w:rsidRPr="00E55648">
        <w:rPr>
          <w:b/>
          <w:bCs/>
          <w:sz w:val="24"/>
          <w:szCs w:val="24"/>
        </w:rPr>
        <w:t>η διάκριση ανάμεσα στα κεντρικά και περιφερειακά όργανα της διοίκησης του Κράτους</w:t>
      </w:r>
      <w:r w:rsidRPr="00E55648">
        <w:rPr>
          <w:sz w:val="24"/>
          <w:szCs w:val="24"/>
        </w:rPr>
        <w:t xml:space="preserve"> στην οποία αναφέρεται η διάταξη της παραγράφου 3 του άρθρου 101 του Συντάγματος, </w:t>
      </w:r>
      <w:r w:rsidRPr="00E55648">
        <w:rPr>
          <w:b/>
          <w:bCs/>
          <w:sz w:val="24"/>
          <w:szCs w:val="24"/>
        </w:rPr>
        <w:t xml:space="preserve">είναι από τις πιο βασικές στην πρακτική και στη θεωρία της δημόσιας διοίκησης </w:t>
      </w:r>
      <w:r w:rsidRPr="00E55648">
        <w:rPr>
          <w:sz w:val="24"/>
          <w:szCs w:val="24"/>
        </w:rPr>
        <w:t xml:space="preserve">και των διοικητικών συστημάτων στη σύγχρονη εποχή.  </w:t>
      </w:r>
      <w:r w:rsidR="00D443A8" w:rsidRPr="00E55648">
        <w:rPr>
          <w:sz w:val="24"/>
          <w:szCs w:val="24"/>
        </w:rPr>
        <w:t xml:space="preserve">Όχι, μόνον γιατί θεσπίζεται, ως γενική αρχή διοικητικής οργάνωσης, η διάκριση των διοικητικών οργάνων του Κράτους </w:t>
      </w:r>
      <w:r w:rsidR="00C06916" w:rsidRPr="00E55648">
        <w:rPr>
          <w:sz w:val="24"/>
          <w:szCs w:val="24"/>
        </w:rPr>
        <w:t xml:space="preserve">σε κεντρικά και περιφερειακά, αλλά επίσης διότι εισάγεται και επιβάλλεται η κατανομή των μεταξύ τους αρμοδιοτήτων με τρόπο ώστε να </w:t>
      </w:r>
      <w:r w:rsidR="00C06916" w:rsidRPr="00E55648">
        <w:rPr>
          <w:b/>
          <w:bCs/>
          <w:sz w:val="24"/>
          <w:szCs w:val="24"/>
        </w:rPr>
        <w:t>είναι διαφορετική η φύση και το περιεχόμενο της αρμοδιότητας ανάμεσα στα κεντρικά και περιφερειακά όργανα</w:t>
      </w:r>
      <w:r w:rsidR="00C06916" w:rsidRPr="00E55648">
        <w:rPr>
          <w:sz w:val="24"/>
          <w:szCs w:val="24"/>
        </w:rPr>
        <w:t xml:space="preserve">». </w:t>
      </w:r>
      <w:r w:rsidR="00C92AFF" w:rsidRPr="00E55648">
        <w:rPr>
          <w:sz w:val="24"/>
          <w:szCs w:val="24"/>
        </w:rPr>
        <w:t>Επιπλέον, τονίζουν ότι η διάκριση είναι διττή: τα περιφερειακά όργανα ασκούν τις αρμοδιότητές τους εντός ορισμένης εδαφικής περιοχής  ενώ τα κεντρικά δεν έχουν τέτοιο περιορισμό και επί των αρμοδιοτήτων που είναι αρμόδια τα περιφερειακά όργανα, τα κεντρικά δεν έχουν παρά μόνο επιτελικού χαρακτήρα αρμοδιότητ</w:t>
      </w:r>
      <w:r w:rsidR="00A80814" w:rsidRPr="00E55648">
        <w:rPr>
          <w:sz w:val="24"/>
          <w:szCs w:val="24"/>
        </w:rPr>
        <w:t>α</w:t>
      </w:r>
      <w:r w:rsidR="00C92AFF" w:rsidRPr="00E55648">
        <w:rPr>
          <w:sz w:val="24"/>
          <w:szCs w:val="24"/>
        </w:rPr>
        <w:t xml:space="preserve">. </w:t>
      </w:r>
    </w:p>
    <w:p w:rsidR="00925B28" w:rsidRPr="00E55648" w:rsidRDefault="00571A2F" w:rsidP="00925B28">
      <w:pPr>
        <w:pStyle w:val="a3"/>
        <w:numPr>
          <w:ilvl w:val="0"/>
          <w:numId w:val="5"/>
        </w:numPr>
        <w:jc w:val="both"/>
        <w:rPr>
          <w:b/>
          <w:bCs/>
          <w:sz w:val="24"/>
          <w:szCs w:val="24"/>
        </w:rPr>
      </w:pPr>
      <w:r w:rsidRPr="00E55648">
        <w:rPr>
          <w:b/>
          <w:bCs/>
          <w:sz w:val="24"/>
          <w:szCs w:val="24"/>
        </w:rPr>
        <w:t xml:space="preserve">Κεντρική και </w:t>
      </w:r>
      <w:r w:rsidR="00A14BD9" w:rsidRPr="00E55648">
        <w:rPr>
          <w:b/>
          <w:bCs/>
          <w:sz w:val="24"/>
          <w:szCs w:val="24"/>
        </w:rPr>
        <w:t>Π</w:t>
      </w:r>
      <w:r w:rsidRPr="00E55648">
        <w:rPr>
          <w:b/>
          <w:bCs/>
          <w:sz w:val="24"/>
          <w:szCs w:val="24"/>
        </w:rPr>
        <w:t xml:space="preserve">εριφερειακή </w:t>
      </w:r>
      <w:r w:rsidR="00A14BD9" w:rsidRPr="00E55648">
        <w:rPr>
          <w:b/>
          <w:bCs/>
          <w:sz w:val="24"/>
          <w:szCs w:val="24"/>
        </w:rPr>
        <w:t>Δ</w:t>
      </w:r>
      <w:r w:rsidRPr="00E55648">
        <w:rPr>
          <w:b/>
          <w:bCs/>
          <w:sz w:val="24"/>
          <w:szCs w:val="24"/>
        </w:rPr>
        <w:t>ιοίκηση στην Εκπαίδευση</w:t>
      </w:r>
    </w:p>
    <w:p w:rsidR="00261AD2" w:rsidRPr="00E55648" w:rsidRDefault="00261AD2" w:rsidP="00261AD2">
      <w:pPr>
        <w:ind w:firstLine="720"/>
        <w:jc w:val="both"/>
        <w:rPr>
          <w:sz w:val="24"/>
          <w:szCs w:val="24"/>
        </w:rPr>
      </w:pPr>
      <w:r w:rsidRPr="00E55648">
        <w:rPr>
          <w:sz w:val="24"/>
          <w:szCs w:val="24"/>
        </w:rPr>
        <w:t xml:space="preserve"> Ειδικότερα σε ό,τι αφορά την εκπαίδευση και τις δομές της πρέπει να αναφερθεί </w:t>
      </w:r>
      <w:r w:rsidR="008609F0">
        <w:rPr>
          <w:sz w:val="24"/>
          <w:szCs w:val="24"/>
        </w:rPr>
        <w:t xml:space="preserve">το </w:t>
      </w:r>
      <w:r w:rsidRPr="00E55648">
        <w:rPr>
          <w:sz w:val="24"/>
          <w:szCs w:val="24"/>
        </w:rPr>
        <w:t>περιφερειακό εκπαιδευτικό επίπεδο διοίκησης ασκεί μόνον εκτελεστικές αρμοδιότητες και υπάγεται απευθείας στον εκάστοτε Υπουργό Παιδείας (και όχι στις τακτικές περιφέρειες)</w:t>
      </w:r>
      <w:r w:rsidR="009352F9">
        <w:rPr>
          <w:sz w:val="24"/>
          <w:szCs w:val="24"/>
        </w:rPr>
        <w:t>,</w:t>
      </w:r>
      <w:r w:rsidRPr="00E55648">
        <w:rPr>
          <w:sz w:val="24"/>
          <w:szCs w:val="24"/>
        </w:rPr>
        <w:t xml:space="preserve"> συνιστώντας ένα σύστημα παράλληλης αποκέντρωσης (</w:t>
      </w:r>
      <w:proofErr w:type="spellStart"/>
      <w:r w:rsidRPr="00E55648">
        <w:rPr>
          <w:sz w:val="24"/>
          <w:szCs w:val="24"/>
        </w:rPr>
        <w:t>Μακρυδημήτρης</w:t>
      </w:r>
      <w:proofErr w:type="spellEnd"/>
      <w:r w:rsidRPr="00E55648">
        <w:rPr>
          <w:sz w:val="24"/>
          <w:szCs w:val="24"/>
        </w:rPr>
        <w:t xml:space="preserve"> &amp;</w:t>
      </w:r>
      <w:r w:rsidR="009352F9">
        <w:rPr>
          <w:sz w:val="24"/>
          <w:szCs w:val="24"/>
        </w:rPr>
        <w:t xml:space="preserve"> </w:t>
      </w:r>
      <w:proofErr w:type="spellStart"/>
      <w:r w:rsidRPr="00E55648">
        <w:rPr>
          <w:sz w:val="24"/>
          <w:szCs w:val="24"/>
        </w:rPr>
        <w:t>Πραβίτα</w:t>
      </w:r>
      <w:proofErr w:type="spellEnd"/>
      <w:r w:rsidRPr="00E55648">
        <w:rPr>
          <w:sz w:val="24"/>
          <w:szCs w:val="24"/>
        </w:rPr>
        <w:t xml:space="preserve">, 2012: 315, </w:t>
      </w:r>
      <w:r w:rsidR="00364E49" w:rsidRPr="00E55648">
        <w:rPr>
          <w:sz w:val="24"/>
          <w:szCs w:val="24"/>
        </w:rPr>
        <w:t>3</w:t>
      </w:r>
      <w:r w:rsidRPr="00E55648">
        <w:rPr>
          <w:sz w:val="24"/>
          <w:szCs w:val="24"/>
        </w:rPr>
        <w:t>25-326).</w:t>
      </w:r>
    </w:p>
    <w:p w:rsidR="00364E49" w:rsidRPr="00E55648" w:rsidRDefault="00364E49" w:rsidP="00261AD2">
      <w:pPr>
        <w:ind w:firstLine="720"/>
        <w:jc w:val="both"/>
        <w:rPr>
          <w:sz w:val="24"/>
          <w:szCs w:val="24"/>
        </w:rPr>
      </w:pPr>
      <w:r w:rsidRPr="00E55648">
        <w:rPr>
          <w:b/>
          <w:bCs/>
          <w:sz w:val="24"/>
          <w:szCs w:val="24"/>
        </w:rPr>
        <w:t xml:space="preserve">Για να καταστεί πιο σαφής η διοικητική διάρθρωση της Εκπαίδευσης, πρέπει να αναφερθεί  ότι </w:t>
      </w:r>
      <w:r w:rsidR="008609F0">
        <w:rPr>
          <w:b/>
          <w:bCs/>
          <w:sz w:val="24"/>
          <w:szCs w:val="24"/>
        </w:rPr>
        <w:t xml:space="preserve">το Υπουργείο Παιδείας </w:t>
      </w:r>
      <w:r w:rsidRPr="00E55648">
        <w:rPr>
          <w:b/>
          <w:bCs/>
          <w:sz w:val="24"/>
          <w:szCs w:val="24"/>
        </w:rPr>
        <w:t xml:space="preserve">αποτελεί ένα από τα ελάχιστα Υπουργεία </w:t>
      </w:r>
      <w:r w:rsidRPr="00E55648">
        <w:rPr>
          <w:b/>
          <w:bCs/>
          <w:sz w:val="24"/>
          <w:szCs w:val="24"/>
          <w:u w:val="single"/>
        </w:rPr>
        <w:t xml:space="preserve">που </w:t>
      </w:r>
      <w:r w:rsidR="00A40C69" w:rsidRPr="00E55648">
        <w:rPr>
          <w:b/>
          <w:bCs/>
          <w:sz w:val="24"/>
          <w:szCs w:val="24"/>
          <w:u w:val="single"/>
        </w:rPr>
        <w:t xml:space="preserve">εξαιρέθηκαν </w:t>
      </w:r>
      <w:r w:rsidRPr="00E55648">
        <w:rPr>
          <w:b/>
          <w:bCs/>
          <w:sz w:val="24"/>
          <w:szCs w:val="24"/>
          <w:u w:val="single"/>
        </w:rPr>
        <w:t xml:space="preserve">από το πεδίο δράσης και </w:t>
      </w:r>
      <w:r w:rsidR="00A40C69" w:rsidRPr="00E55648">
        <w:rPr>
          <w:b/>
          <w:bCs/>
          <w:sz w:val="24"/>
          <w:szCs w:val="24"/>
          <w:u w:val="single"/>
        </w:rPr>
        <w:t>δικαιοδοσίας</w:t>
      </w:r>
      <w:r w:rsidRPr="00E55648">
        <w:rPr>
          <w:b/>
          <w:bCs/>
          <w:sz w:val="24"/>
          <w:szCs w:val="24"/>
          <w:u w:val="single"/>
        </w:rPr>
        <w:t xml:space="preserve"> των διοικητικών περιφερειών της χώρας</w:t>
      </w:r>
      <w:r w:rsidR="00A40C69" w:rsidRPr="00E55648">
        <w:rPr>
          <w:sz w:val="24"/>
          <w:szCs w:val="24"/>
        </w:rPr>
        <w:t xml:space="preserve">. </w:t>
      </w:r>
      <w:r w:rsidR="008B2C4E" w:rsidRPr="00E55648">
        <w:rPr>
          <w:sz w:val="24"/>
          <w:szCs w:val="24"/>
        </w:rPr>
        <w:t>Με τον ν. 2986/2002 η περιφερειακή δομή του Υπουργείου Παιδείας διαμορφώθηκε</w:t>
      </w:r>
      <w:r w:rsidR="00BC0B42">
        <w:rPr>
          <w:sz w:val="24"/>
          <w:szCs w:val="24"/>
        </w:rPr>
        <w:t>,</w:t>
      </w:r>
      <w:r w:rsidR="008B2C4E" w:rsidRPr="00E55648">
        <w:rPr>
          <w:sz w:val="24"/>
          <w:szCs w:val="24"/>
        </w:rPr>
        <w:t xml:space="preserve"> ως </w:t>
      </w:r>
      <w:r w:rsidR="00A14BD9" w:rsidRPr="00E55648">
        <w:rPr>
          <w:sz w:val="24"/>
          <w:szCs w:val="24"/>
        </w:rPr>
        <w:t>ακολούθως</w:t>
      </w:r>
      <w:r w:rsidR="008609F0">
        <w:rPr>
          <w:sz w:val="24"/>
          <w:szCs w:val="24"/>
        </w:rPr>
        <w:t xml:space="preserve">: </w:t>
      </w:r>
      <w:r w:rsidR="008B2C4E" w:rsidRPr="00E55648">
        <w:rPr>
          <w:sz w:val="24"/>
          <w:szCs w:val="24"/>
        </w:rPr>
        <w:t>συστάθηκαν 13 περιφερειακές υπηρεσίες</w:t>
      </w:r>
      <w:r w:rsidR="005417B3" w:rsidRPr="0037064E">
        <w:rPr>
          <w:sz w:val="24"/>
          <w:szCs w:val="24"/>
        </w:rPr>
        <w:t>,</w:t>
      </w:r>
      <w:r w:rsidR="008B2C4E" w:rsidRPr="00E55648">
        <w:rPr>
          <w:sz w:val="24"/>
          <w:szCs w:val="24"/>
        </w:rPr>
        <w:t xml:space="preserve"> οι οποίες αντιστοιχούν πλήρως γεωγραφικά στις υφιστάμενες </w:t>
      </w:r>
      <w:proofErr w:type="spellStart"/>
      <w:r w:rsidR="008B2C4E" w:rsidRPr="008609F0">
        <w:rPr>
          <w:b/>
          <w:sz w:val="24"/>
          <w:szCs w:val="24"/>
        </w:rPr>
        <w:t>αυτοδιοικητικές</w:t>
      </w:r>
      <w:proofErr w:type="spellEnd"/>
      <w:r w:rsidR="008B2C4E" w:rsidRPr="008609F0">
        <w:rPr>
          <w:b/>
          <w:sz w:val="24"/>
          <w:szCs w:val="24"/>
        </w:rPr>
        <w:t xml:space="preserve"> πλέον περιφέρειες χωρίς να εντάσσονται ούτε σε αυτές αλλά ούτε και</w:t>
      </w:r>
      <w:r w:rsidR="008609F0" w:rsidRPr="008609F0">
        <w:rPr>
          <w:b/>
          <w:sz w:val="24"/>
          <w:szCs w:val="24"/>
        </w:rPr>
        <w:t xml:space="preserve"> στις Αποκεντρωμένες Διοικήσεις</w:t>
      </w:r>
      <w:r w:rsidR="007E7AA3">
        <w:rPr>
          <w:b/>
          <w:sz w:val="24"/>
          <w:szCs w:val="24"/>
        </w:rPr>
        <w:t xml:space="preserve"> </w:t>
      </w:r>
      <w:r w:rsidR="008609F0" w:rsidRPr="00E55648">
        <w:rPr>
          <w:sz w:val="24"/>
          <w:szCs w:val="24"/>
        </w:rPr>
        <w:t>(</w:t>
      </w:r>
      <w:proofErr w:type="spellStart"/>
      <w:r w:rsidR="008609F0" w:rsidRPr="00E55648">
        <w:rPr>
          <w:sz w:val="24"/>
          <w:szCs w:val="24"/>
        </w:rPr>
        <w:t>Μ</w:t>
      </w:r>
      <w:r w:rsidR="008609F0">
        <w:rPr>
          <w:sz w:val="24"/>
          <w:szCs w:val="24"/>
        </w:rPr>
        <w:t>ακρυδημήτρης</w:t>
      </w:r>
      <w:proofErr w:type="spellEnd"/>
      <w:r w:rsidR="008609F0">
        <w:rPr>
          <w:sz w:val="24"/>
          <w:szCs w:val="24"/>
        </w:rPr>
        <w:t xml:space="preserve"> &amp;</w:t>
      </w:r>
      <w:r w:rsidR="009352F9">
        <w:rPr>
          <w:sz w:val="24"/>
          <w:szCs w:val="24"/>
        </w:rPr>
        <w:t xml:space="preserve"> </w:t>
      </w:r>
      <w:proofErr w:type="spellStart"/>
      <w:r w:rsidR="008609F0">
        <w:rPr>
          <w:sz w:val="24"/>
          <w:szCs w:val="24"/>
        </w:rPr>
        <w:t>Πραβίτα</w:t>
      </w:r>
      <w:proofErr w:type="spellEnd"/>
      <w:r w:rsidR="008609F0">
        <w:rPr>
          <w:sz w:val="24"/>
          <w:szCs w:val="24"/>
        </w:rPr>
        <w:t>, 325-326) και</w:t>
      </w:r>
      <w:r w:rsidR="00F20587" w:rsidRPr="00E55648">
        <w:rPr>
          <w:sz w:val="24"/>
          <w:szCs w:val="24"/>
        </w:rPr>
        <w:t xml:space="preserve"> υ</w:t>
      </w:r>
      <w:r w:rsidR="008609F0">
        <w:rPr>
          <w:sz w:val="24"/>
          <w:szCs w:val="24"/>
        </w:rPr>
        <w:t>πάγονται απευθείας στον</w:t>
      </w:r>
      <w:r w:rsidR="00F20587" w:rsidRPr="00E55648">
        <w:rPr>
          <w:sz w:val="24"/>
          <w:szCs w:val="24"/>
        </w:rPr>
        <w:t xml:space="preserve"> Υπουργό Παιδείας</w:t>
      </w:r>
      <w:r w:rsidR="00A14BD9" w:rsidRPr="00E55648">
        <w:rPr>
          <w:sz w:val="24"/>
          <w:szCs w:val="24"/>
        </w:rPr>
        <w:t>,</w:t>
      </w:r>
      <w:r w:rsidR="00F20587" w:rsidRPr="00E55648">
        <w:rPr>
          <w:sz w:val="24"/>
          <w:szCs w:val="24"/>
        </w:rPr>
        <w:t xml:space="preserve"> αν και ασκούν αρμοδιότητες που αφορούν αποκλειστικά σε περιφερειακό επίπεδο </w:t>
      </w:r>
    </w:p>
    <w:p w:rsidR="008609F0" w:rsidRDefault="008609F0" w:rsidP="008609F0">
      <w:pPr>
        <w:jc w:val="both"/>
        <w:rPr>
          <w:b/>
          <w:bCs/>
          <w:sz w:val="24"/>
          <w:szCs w:val="24"/>
          <w:u w:val="single"/>
        </w:rPr>
      </w:pPr>
      <w:r>
        <w:rPr>
          <w:b/>
          <w:bCs/>
          <w:sz w:val="24"/>
          <w:szCs w:val="24"/>
          <w:u w:val="single"/>
        </w:rPr>
        <w:t>Συμπεράσματα</w:t>
      </w:r>
    </w:p>
    <w:p w:rsidR="008609F0" w:rsidRPr="008609F0" w:rsidRDefault="008609F0" w:rsidP="008609F0">
      <w:pPr>
        <w:jc w:val="both"/>
        <w:rPr>
          <w:b/>
          <w:bCs/>
          <w:sz w:val="24"/>
          <w:szCs w:val="24"/>
          <w:u w:val="single"/>
        </w:rPr>
      </w:pPr>
      <w:r w:rsidRPr="008609F0">
        <w:rPr>
          <w:b/>
          <w:bCs/>
          <w:sz w:val="24"/>
          <w:szCs w:val="24"/>
        </w:rPr>
        <w:t>α)</w:t>
      </w:r>
      <w:r w:rsidRPr="008609F0">
        <w:rPr>
          <w:sz w:val="24"/>
          <w:szCs w:val="24"/>
        </w:rPr>
        <w:t xml:space="preserve"> τ</w:t>
      </w:r>
      <w:r w:rsidRPr="00E55648">
        <w:rPr>
          <w:sz w:val="24"/>
          <w:szCs w:val="24"/>
        </w:rPr>
        <w:t>ο οργανόγραμμα είναι καθοριστικό και για το «έργο» και για τις «συμπεριφορές» που αναπτύσσονται σε έναν οργανισμό</w:t>
      </w:r>
    </w:p>
    <w:p w:rsidR="008609F0" w:rsidRPr="00E55648" w:rsidRDefault="008609F0" w:rsidP="008609F0">
      <w:pPr>
        <w:jc w:val="both"/>
        <w:rPr>
          <w:sz w:val="24"/>
          <w:szCs w:val="24"/>
        </w:rPr>
      </w:pPr>
      <w:r w:rsidRPr="008609F0">
        <w:rPr>
          <w:b/>
          <w:sz w:val="24"/>
          <w:szCs w:val="24"/>
        </w:rPr>
        <w:t>β)</w:t>
      </w:r>
      <w:r w:rsidRPr="008609F0">
        <w:rPr>
          <w:sz w:val="24"/>
          <w:szCs w:val="24"/>
        </w:rPr>
        <w:t xml:space="preserve"> </w:t>
      </w:r>
      <w:r w:rsidRPr="00E55648">
        <w:rPr>
          <w:sz w:val="24"/>
          <w:szCs w:val="24"/>
        </w:rPr>
        <w:t>η διάκριση ανάμεσα στην κεντρική και περιφερειακή διοίκηση είναι θεμελιώδης για τη λειτουργία της δημόσιας διοίκησης</w:t>
      </w:r>
      <w:r w:rsidR="004D7539">
        <w:rPr>
          <w:sz w:val="24"/>
          <w:szCs w:val="24"/>
        </w:rPr>
        <w:t xml:space="preserve">. </w:t>
      </w:r>
      <w:r>
        <w:rPr>
          <w:sz w:val="24"/>
          <w:szCs w:val="24"/>
        </w:rPr>
        <w:t>Ε</w:t>
      </w:r>
      <w:r w:rsidRPr="00E55648">
        <w:rPr>
          <w:sz w:val="24"/>
          <w:szCs w:val="24"/>
        </w:rPr>
        <w:t>πιτελούν διαφορετικούς ρόλους στο πλαίσιό της και</w:t>
      </w:r>
      <w:r>
        <w:rPr>
          <w:sz w:val="24"/>
          <w:szCs w:val="24"/>
        </w:rPr>
        <w:t>,</w:t>
      </w:r>
      <w:r w:rsidRPr="00E55648">
        <w:rPr>
          <w:sz w:val="24"/>
          <w:szCs w:val="24"/>
        </w:rPr>
        <w:t xml:space="preserve"> συνεπώς</w:t>
      </w:r>
      <w:r>
        <w:rPr>
          <w:sz w:val="24"/>
          <w:szCs w:val="24"/>
        </w:rPr>
        <w:t>,</w:t>
      </w:r>
      <w:r w:rsidR="004D7539">
        <w:rPr>
          <w:sz w:val="24"/>
          <w:szCs w:val="24"/>
        </w:rPr>
        <w:t xml:space="preserve"> δεν είναι λειτουργικό</w:t>
      </w:r>
      <w:r w:rsidRPr="00E55648">
        <w:rPr>
          <w:sz w:val="24"/>
          <w:szCs w:val="24"/>
        </w:rPr>
        <w:t xml:space="preserve"> να τεθούν υπό κοινό οργανόγραμμα μια επιτελική δημόσια υπηρεσία με περιφερειακές δημόσιες υπηρεσίες.</w:t>
      </w:r>
    </w:p>
    <w:p w:rsidR="007B661C" w:rsidRPr="00BC0B42" w:rsidRDefault="004D7539" w:rsidP="00261AD2">
      <w:pPr>
        <w:ind w:firstLine="720"/>
        <w:jc w:val="both"/>
        <w:rPr>
          <w:b/>
          <w:bCs/>
          <w:sz w:val="24"/>
          <w:szCs w:val="24"/>
        </w:rPr>
      </w:pPr>
      <w:r>
        <w:rPr>
          <w:sz w:val="24"/>
          <w:szCs w:val="24"/>
        </w:rPr>
        <w:lastRenderedPageBreak/>
        <w:t>Μ</w:t>
      </w:r>
      <w:r w:rsidR="007D22CD" w:rsidRPr="00BC0B42">
        <w:rPr>
          <w:sz w:val="24"/>
          <w:szCs w:val="24"/>
        </w:rPr>
        <w:t>ε βάση τα ανωτέρω:</w:t>
      </w:r>
      <w:r w:rsidR="007B661C" w:rsidRPr="00BC0B42">
        <w:rPr>
          <w:b/>
          <w:bCs/>
          <w:sz w:val="24"/>
          <w:szCs w:val="24"/>
        </w:rPr>
        <w:t xml:space="preserve"> </w:t>
      </w:r>
    </w:p>
    <w:p w:rsidR="007D22CD" w:rsidRPr="00BC0B42" w:rsidRDefault="007B661C" w:rsidP="007B661C">
      <w:pPr>
        <w:ind w:firstLine="720"/>
        <w:jc w:val="both"/>
        <w:rPr>
          <w:b/>
          <w:bCs/>
          <w:sz w:val="24"/>
          <w:szCs w:val="24"/>
        </w:rPr>
      </w:pPr>
      <w:r w:rsidRPr="007E7AA3">
        <w:rPr>
          <w:b/>
          <w:bCs/>
          <w:sz w:val="24"/>
          <w:szCs w:val="24"/>
          <w:u w:val="single"/>
        </w:rPr>
        <w:t xml:space="preserve">Ζητάμε </w:t>
      </w:r>
      <w:r w:rsidR="007D22CD" w:rsidRPr="007E7AA3">
        <w:rPr>
          <w:b/>
          <w:bCs/>
          <w:sz w:val="24"/>
          <w:szCs w:val="24"/>
          <w:u w:val="single"/>
        </w:rPr>
        <w:t xml:space="preserve">άμεσα την εκπόνηση ενός διακριτού  και λειτουργικού οργανισμού για την ΚΥ του Υπουργείου Παιδείας, όπως ίσχυε για δεκαετίες </w:t>
      </w:r>
      <w:r w:rsidR="00777D96" w:rsidRPr="007E7AA3">
        <w:rPr>
          <w:b/>
          <w:bCs/>
          <w:sz w:val="24"/>
          <w:szCs w:val="24"/>
          <w:u w:val="single"/>
        </w:rPr>
        <w:t>και μέχρι το 2018, καθώς το αίτημα αυτό στηρίζεται σε βασικά αξιώματα της λειτουργίας της δημόσιας διοίκησης</w:t>
      </w:r>
      <w:r w:rsidR="00BC0B42" w:rsidRPr="00BC0B42">
        <w:rPr>
          <w:b/>
          <w:bCs/>
          <w:sz w:val="24"/>
          <w:szCs w:val="24"/>
        </w:rPr>
        <w:t>.</w:t>
      </w:r>
      <w:r w:rsidR="009B657D">
        <w:rPr>
          <w:b/>
          <w:bCs/>
          <w:sz w:val="24"/>
          <w:szCs w:val="24"/>
        </w:rPr>
        <w:t xml:space="preserve"> </w:t>
      </w:r>
    </w:p>
    <w:p w:rsidR="007B661C" w:rsidRPr="00BC0B42" w:rsidRDefault="007B661C" w:rsidP="007B661C">
      <w:pPr>
        <w:jc w:val="both"/>
        <w:rPr>
          <w:b/>
          <w:bCs/>
          <w:sz w:val="24"/>
          <w:szCs w:val="24"/>
        </w:rPr>
      </w:pPr>
      <w:r w:rsidRPr="00BC0B42">
        <w:rPr>
          <w:b/>
          <w:bCs/>
          <w:sz w:val="24"/>
          <w:szCs w:val="24"/>
        </w:rPr>
        <w:t xml:space="preserve">                 Τονίζουμε ότι:</w:t>
      </w:r>
    </w:p>
    <w:p w:rsidR="00777D96" w:rsidRDefault="00777D96" w:rsidP="007B661C">
      <w:pPr>
        <w:pStyle w:val="a3"/>
        <w:numPr>
          <w:ilvl w:val="0"/>
          <w:numId w:val="7"/>
        </w:numPr>
        <w:jc w:val="both"/>
        <w:rPr>
          <w:sz w:val="24"/>
          <w:szCs w:val="24"/>
        </w:rPr>
      </w:pPr>
      <w:r w:rsidRPr="00BC0B42">
        <w:rPr>
          <w:b/>
          <w:bCs/>
          <w:sz w:val="24"/>
          <w:szCs w:val="24"/>
        </w:rPr>
        <w:t>Δεν ερχόμαστε σε αντιπαράθεση με τους συναδέλφους των περιφερειακών υπηρεσιών</w:t>
      </w:r>
      <w:r w:rsidRPr="00BC0B42">
        <w:rPr>
          <w:sz w:val="24"/>
          <w:szCs w:val="24"/>
        </w:rPr>
        <w:t>: αντιθέτως</w:t>
      </w:r>
      <w:r w:rsidR="007B661C" w:rsidRPr="00BC0B42">
        <w:rPr>
          <w:sz w:val="24"/>
          <w:szCs w:val="24"/>
        </w:rPr>
        <w:t>,</w:t>
      </w:r>
      <w:r w:rsidRPr="00BC0B42">
        <w:rPr>
          <w:sz w:val="24"/>
          <w:szCs w:val="24"/>
        </w:rPr>
        <w:t xml:space="preserve"> υποστηρίζουμε ότι πρέπει να έχουν</w:t>
      </w:r>
      <w:r w:rsidR="00BC0B42">
        <w:rPr>
          <w:sz w:val="24"/>
          <w:szCs w:val="24"/>
        </w:rPr>
        <w:t xml:space="preserve"> </w:t>
      </w:r>
      <w:r w:rsidRPr="00BC0B42">
        <w:rPr>
          <w:sz w:val="24"/>
          <w:szCs w:val="24"/>
        </w:rPr>
        <w:t xml:space="preserve">και οι  περιφερειακές υπηρεσίες </w:t>
      </w:r>
      <w:r w:rsidR="009B657D">
        <w:rPr>
          <w:sz w:val="24"/>
          <w:szCs w:val="24"/>
        </w:rPr>
        <w:t xml:space="preserve">δικό τους οργανισμό </w:t>
      </w:r>
      <w:r w:rsidRPr="00BC0B42">
        <w:rPr>
          <w:sz w:val="24"/>
          <w:szCs w:val="24"/>
        </w:rPr>
        <w:t>αλλά δεν εξυπηρετεί καμία διοικητική λογική το κοινό οργανόγραμμα με την ΚΥ</w:t>
      </w:r>
    </w:p>
    <w:p w:rsidR="001D1A15" w:rsidRPr="00BC0B42" w:rsidRDefault="001D1A15" w:rsidP="001D1A15">
      <w:pPr>
        <w:pStyle w:val="a3"/>
        <w:ind w:left="1800"/>
        <w:jc w:val="both"/>
        <w:rPr>
          <w:sz w:val="24"/>
          <w:szCs w:val="24"/>
        </w:rPr>
      </w:pPr>
    </w:p>
    <w:p w:rsidR="001D1A15" w:rsidRPr="001D1A15" w:rsidRDefault="007B661C" w:rsidP="007B661C">
      <w:pPr>
        <w:pStyle w:val="a3"/>
        <w:numPr>
          <w:ilvl w:val="0"/>
          <w:numId w:val="7"/>
        </w:numPr>
        <w:jc w:val="both"/>
        <w:rPr>
          <w:sz w:val="24"/>
          <w:szCs w:val="24"/>
        </w:rPr>
      </w:pPr>
      <w:r w:rsidRPr="00BC0B42">
        <w:rPr>
          <w:sz w:val="24"/>
          <w:szCs w:val="24"/>
        </w:rPr>
        <w:t xml:space="preserve">Η </w:t>
      </w:r>
      <w:r w:rsidRPr="00BC0B42">
        <w:rPr>
          <w:b/>
          <w:bCs/>
          <w:sz w:val="24"/>
          <w:szCs w:val="24"/>
        </w:rPr>
        <w:t>πρακτική του κοινού οργανισμού</w:t>
      </w:r>
      <w:r w:rsidRPr="00BC0B42">
        <w:rPr>
          <w:sz w:val="24"/>
          <w:szCs w:val="24"/>
        </w:rPr>
        <w:t xml:space="preserve"> από το 2018 έως και σήμερα </w:t>
      </w:r>
      <w:r w:rsidRPr="00BC0B42">
        <w:rPr>
          <w:b/>
          <w:bCs/>
          <w:sz w:val="24"/>
          <w:szCs w:val="24"/>
        </w:rPr>
        <w:t>δεν βελτίωσε σε τίποτα τη διοικητική λειτουργία της ΚΥ</w:t>
      </w:r>
    </w:p>
    <w:p w:rsidR="007B661C" w:rsidRPr="00BC0B42" w:rsidRDefault="007B661C" w:rsidP="001D1A15">
      <w:pPr>
        <w:pStyle w:val="a3"/>
        <w:ind w:left="1800"/>
        <w:jc w:val="both"/>
        <w:rPr>
          <w:sz w:val="24"/>
          <w:szCs w:val="24"/>
        </w:rPr>
      </w:pPr>
      <w:r w:rsidRPr="00BC0B42">
        <w:rPr>
          <w:sz w:val="24"/>
          <w:szCs w:val="24"/>
        </w:rPr>
        <w:t xml:space="preserve"> </w:t>
      </w:r>
    </w:p>
    <w:p w:rsidR="007B661C" w:rsidRDefault="007B661C" w:rsidP="007B661C">
      <w:pPr>
        <w:pStyle w:val="a3"/>
        <w:numPr>
          <w:ilvl w:val="0"/>
          <w:numId w:val="7"/>
        </w:numPr>
        <w:jc w:val="both"/>
        <w:rPr>
          <w:sz w:val="24"/>
          <w:szCs w:val="24"/>
        </w:rPr>
      </w:pPr>
      <w:r w:rsidRPr="00BC0B42">
        <w:rPr>
          <w:sz w:val="24"/>
          <w:szCs w:val="24"/>
        </w:rPr>
        <w:t xml:space="preserve">Το αίτημα για διακριτό οργανισμό δεν αποτελεί σε καμία περίπτωση </w:t>
      </w:r>
      <w:r w:rsidRPr="00BC0B42">
        <w:rPr>
          <w:b/>
          <w:bCs/>
          <w:sz w:val="24"/>
          <w:szCs w:val="24"/>
        </w:rPr>
        <w:t>«συντεχνιακό» αίτημα</w:t>
      </w:r>
      <w:r w:rsidR="00871847">
        <w:rPr>
          <w:b/>
          <w:bCs/>
          <w:sz w:val="24"/>
          <w:szCs w:val="24"/>
        </w:rPr>
        <w:t xml:space="preserve">. </w:t>
      </w:r>
      <w:r w:rsidR="00871847" w:rsidRPr="00871847">
        <w:rPr>
          <w:sz w:val="24"/>
          <w:szCs w:val="24"/>
        </w:rPr>
        <w:t>Αντιθέτως</w:t>
      </w:r>
      <w:r w:rsidR="004C13FA">
        <w:rPr>
          <w:sz w:val="24"/>
          <w:szCs w:val="24"/>
        </w:rPr>
        <w:t>,</w:t>
      </w:r>
      <w:r w:rsidR="00871847">
        <w:rPr>
          <w:b/>
          <w:bCs/>
          <w:sz w:val="24"/>
          <w:szCs w:val="24"/>
        </w:rPr>
        <w:t xml:space="preserve"> </w:t>
      </w:r>
      <w:r w:rsidR="00871847">
        <w:rPr>
          <w:sz w:val="24"/>
          <w:szCs w:val="24"/>
        </w:rPr>
        <w:t>συντεχνιακές σκοπιμότητες εξυπηρέτησε η απόφαση για κοινό οργανισμό</w:t>
      </w:r>
      <w:r w:rsidR="00A2153C" w:rsidRPr="00BC0B42">
        <w:rPr>
          <w:sz w:val="24"/>
          <w:szCs w:val="24"/>
        </w:rPr>
        <w:t xml:space="preserve">. </w:t>
      </w:r>
    </w:p>
    <w:p w:rsidR="004D7539" w:rsidRDefault="004D7539" w:rsidP="009B657D">
      <w:pPr>
        <w:jc w:val="both"/>
        <w:rPr>
          <w:rFonts w:cstheme="minorHAnsi"/>
          <w:b/>
          <w:bCs/>
          <w:sz w:val="24"/>
          <w:szCs w:val="24"/>
        </w:rPr>
      </w:pPr>
    </w:p>
    <w:tbl>
      <w:tblPr>
        <w:tblpPr w:leftFromText="180" w:rightFromText="180" w:vertAnchor="text" w:horzAnchor="margin" w:tblpXSpec="center" w:tblpY="176"/>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51"/>
      </w:tblGrid>
      <w:tr w:rsidR="00584EE9" w:rsidTr="004D6A26">
        <w:trPr>
          <w:trHeight w:val="1027"/>
        </w:trPr>
        <w:tc>
          <w:tcPr>
            <w:tcW w:w="4503" w:type="dxa"/>
            <w:tcBorders>
              <w:top w:val="nil"/>
              <w:left w:val="nil"/>
              <w:bottom w:val="nil"/>
              <w:right w:val="nil"/>
            </w:tcBorders>
          </w:tcPr>
          <w:p w:rsidR="00584EE9" w:rsidRDefault="00584EE9" w:rsidP="00A70FEF">
            <w:pPr>
              <w:spacing w:after="0"/>
              <w:jc w:val="center"/>
              <w:rPr>
                <w:color w:val="000000"/>
                <w:sz w:val="24"/>
                <w:szCs w:val="24"/>
              </w:rPr>
            </w:pPr>
            <w:r>
              <w:rPr>
                <w:color w:val="000000"/>
                <w:sz w:val="24"/>
                <w:szCs w:val="24"/>
                <w:lang w:val="en-US"/>
              </w:rPr>
              <w:t>H</w:t>
            </w:r>
            <w:r>
              <w:rPr>
                <w:color w:val="000000"/>
                <w:sz w:val="24"/>
                <w:szCs w:val="24"/>
              </w:rPr>
              <w:t xml:space="preserve"> ΠΡΟΕΔΡΟΣ</w:t>
            </w:r>
          </w:p>
          <w:p w:rsidR="00584EE9" w:rsidRDefault="00584EE9" w:rsidP="00A70FEF">
            <w:pPr>
              <w:spacing w:after="0"/>
              <w:jc w:val="center"/>
              <w:rPr>
                <w:color w:val="000000"/>
                <w:sz w:val="24"/>
                <w:szCs w:val="24"/>
                <w:lang w:val="en-US"/>
              </w:rPr>
            </w:pPr>
          </w:p>
          <w:p w:rsidR="00584EE9" w:rsidRPr="004F54F4" w:rsidRDefault="00584EE9" w:rsidP="00A70FEF">
            <w:pPr>
              <w:spacing w:after="0"/>
              <w:jc w:val="center"/>
              <w:rPr>
                <w:color w:val="000000"/>
                <w:sz w:val="24"/>
                <w:szCs w:val="24"/>
              </w:rPr>
            </w:pPr>
            <w:r>
              <w:rPr>
                <w:color w:val="000000"/>
                <w:sz w:val="24"/>
                <w:szCs w:val="24"/>
              </w:rPr>
              <w:t>ΒΑΣΙΛΙΚΗ ΚΑΡΚΑΝΗ</w:t>
            </w:r>
          </w:p>
        </w:tc>
        <w:tc>
          <w:tcPr>
            <w:tcW w:w="4651" w:type="dxa"/>
            <w:tcBorders>
              <w:top w:val="nil"/>
              <w:left w:val="nil"/>
              <w:bottom w:val="nil"/>
              <w:right w:val="nil"/>
            </w:tcBorders>
          </w:tcPr>
          <w:p w:rsidR="00584EE9" w:rsidRDefault="00584EE9" w:rsidP="00A70FEF">
            <w:pPr>
              <w:spacing w:after="0"/>
              <w:jc w:val="center"/>
              <w:rPr>
                <w:color w:val="000000"/>
                <w:sz w:val="24"/>
                <w:szCs w:val="24"/>
              </w:rPr>
            </w:pPr>
            <w:r>
              <w:rPr>
                <w:color w:val="000000"/>
                <w:sz w:val="24"/>
                <w:szCs w:val="24"/>
              </w:rPr>
              <w:t>Η</w:t>
            </w:r>
            <w:r w:rsidRPr="00487F8C">
              <w:rPr>
                <w:color w:val="000000"/>
                <w:sz w:val="24"/>
                <w:szCs w:val="24"/>
              </w:rPr>
              <w:t xml:space="preserve"> </w:t>
            </w:r>
            <w:r>
              <w:rPr>
                <w:color w:val="000000"/>
                <w:sz w:val="24"/>
                <w:szCs w:val="24"/>
              </w:rPr>
              <w:t>ΓΕΝΙΚΗ</w:t>
            </w:r>
            <w:r w:rsidRPr="00487F8C">
              <w:rPr>
                <w:color w:val="000000"/>
                <w:sz w:val="24"/>
                <w:szCs w:val="24"/>
              </w:rPr>
              <w:t xml:space="preserve"> </w:t>
            </w:r>
            <w:r>
              <w:rPr>
                <w:color w:val="000000"/>
                <w:sz w:val="24"/>
                <w:szCs w:val="24"/>
              </w:rPr>
              <w:t>ΓΡΑΜΜΑΤΕΑΣ</w:t>
            </w:r>
          </w:p>
          <w:p w:rsidR="00584EE9" w:rsidRDefault="00584EE9" w:rsidP="00A70FEF">
            <w:pPr>
              <w:spacing w:after="0"/>
              <w:jc w:val="center"/>
              <w:rPr>
                <w:color w:val="000000"/>
                <w:sz w:val="24"/>
                <w:szCs w:val="24"/>
              </w:rPr>
            </w:pPr>
          </w:p>
          <w:p w:rsidR="00584EE9" w:rsidRDefault="00584EE9" w:rsidP="00A70FEF">
            <w:pPr>
              <w:spacing w:after="0"/>
              <w:jc w:val="center"/>
              <w:rPr>
                <w:color w:val="000000"/>
                <w:sz w:val="24"/>
                <w:szCs w:val="24"/>
              </w:rPr>
            </w:pPr>
            <w:r>
              <w:rPr>
                <w:sz w:val="24"/>
                <w:szCs w:val="24"/>
              </w:rPr>
              <w:t>ΕΥΑΓΓΕΛΙΑ ΠΑΝΤΑ</w:t>
            </w:r>
          </w:p>
          <w:p w:rsidR="00584EE9" w:rsidRDefault="00584EE9" w:rsidP="00A70FEF">
            <w:pPr>
              <w:spacing w:after="0"/>
              <w:jc w:val="center"/>
              <w:rPr>
                <w:color w:val="000000"/>
                <w:sz w:val="24"/>
                <w:szCs w:val="24"/>
              </w:rPr>
            </w:pPr>
          </w:p>
          <w:p w:rsidR="00584EE9" w:rsidRDefault="00584EE9" w:rsidP="00A70FEF">
            <w:pPr>
              <w:spacing w:after="0"/>
              <w:jc w:val="center"/>
              <w:rPr>
                <w:color w:val="000000"/>
                <w:sz w:val="24"/>
                <w:szCs w:val="24"/>
              </w:rPr>
            </w:pPr>
          </w:p>
        </w:tc>
      </w:tr>
    </w:tbl>
    <w:p w:rsidR="0037064E" w:rsidRDefault="0037064E" w:rsidP="009B657D">
      <w:pPr>
        <w:jc w:val="both"/>
        <w:rPr>
          <w:rFonts w:cstheme="minorHAnsi"/>
          <w:b/>
          <w:bCs/>
          <w:sz w:val="24"/>
          <w:szCs w:val="24"/>
        </w:rPr>
      </w:pPr>
    </w:p>
    <w:p w:rsidR="0037064E" w:rsidRDefault="0037064E" w:rsidP="009B657D">
      <w:pPr>
        <w:jc w:val="both"/>
        <w:rPr>
          <w:rFonts w:cstheme="minorHAnsi"/>
          <w:b/>
          <w:bCs/>
          <w:sz w:val="24"/>
          <w:szCs w:val="24"/>
        </w:rPr>
      </w:pPr>
    </w:p>
    <w:p w:rsidR="0037064E" w:rsidRDefault="0037064E" w:rsidP="009B657D">
      <w:pPr>
        <w:jc w:val="both"/>
        <w:rPr>
          <w:rFonts w:cstheme="minorHAnsi"/>
          <w:b/>
          <w:bCs/>
          <w:sz w:val="24"/>
          <w:szCs w:val="24"/>
        </w:rPr>
      </w:pPr>
    </w:p>
    <w:p w:rsidR="0037064E" w:rsidRDefault="0037064E" w:rsidP="009B657D">
      <w:pPr>
        <w:jc w:val="both"/>
        <w:rPr>
          <w:rFonts w:cstheme="minorHAnsi"/>
          <w:b/>
          <w:bCs/>
          <w:sz w:val="24"/>
          <w:szCs w:val="24"/>
        </w:rPr>
      </w:pPr>
    </w:p>
    <w:p w:rsidR="004D7539" w:rsidRDefault="004D7539" w:rsidP="009B657D">
      <w:pPr>
        <w:jc w:val="both"/>
        <w:rPr>
          <w:rFonts w:cstheme="minorHAnsi"/>
          <w:b/>
          <w:bCs/>
          <w:sz w:val="24"/>
          <w:szCs w:val="24"/>
        </w:rPr>
      </w:pPr>
    </w:p>
    <w:p w:rsidR="0084207E" w:rsidRDefault="0084207E" w:rsidP="009B657D">
      <w:pPr>
        <w:jc w:val="both"/>
        <w:rPr>
          <w:rFonts w:cstheme="minorHAnsi"/>
          <w:b/>
          <w:bCs/>
          <w:sz w:val="24"/>
          <w:szCs w:val="24"/>
        </w:rPr>
      </w:pPr>
    </w:p>
    <w:p w:rsidR="009B657D" w:rsidRPr="00584EE9" w:rsidRDefault="009B657D" w:rsidP="0084207E">
      <w:pPr>
        <w:spacing w:after="0" w:line="240" w:lineRule="auto"/>
        <w:jc w:val="both"/>
        <w:rPr>
          <w:rFonts w:cstheme="minorHAnsi"/>
          <w:b/>
          <w:bCs/>
        </w:rPr>
      </w:pPr>
      <w:r w:rsidRPr="00584EE9">
        <w:rPr>
          <w:rFonts w:cstheme="minorHAnsi"/>
          <w:b/>
          <w:bCs/>
        </w:rPr>
        <w:t>Βιβλιογραφικές αναφορές:</w:t>
      </w:r>
    </w:p>
    <w:p w:rsidR="009B657D" w:rsidRPr="00584EE9" w:rsidRDefault="009B657D" w:rsidP="0084207E">
      <w:pPr>
        <w:spacing w:after="0" w:line="240" w:lineRule="auto"/>
        <w:jc w:val="both"/>
        <w:rPr>
          <w:rFonts w:cstheme="minorHAnsi"/>
        </w:rPr>
      </w:pPr>
      <w:bookmarkStart w:id="0" w:name="_Hlk118576648"/>
      <w:proofErr w:type="spellStart"/>
      <w:r w:rsidRPr="00584EE9">
        <w:rPr>
          <w:rFonts w:cstheme="minorHAnsi"/>
        </w:rPr>
        <w:t>Μακρυδημήτρης</w:t>
      </w:r>
      <w:proofErr w:type="spellEnd"/>
      <w:r w:rsidRPr="00584EE9">
        <w:rPr>
          <w:rFonts w:cstheme="minorHAnsi"/>
        </w:rPr>
        <w:t xml:space="preserve">, Α. &amp; </w:t>
      </w:r>
      <w:proofErr w:type="spellStart"/>
      <w:r w:rsidRPr="00584EE9">
        <w:rPr>
          <w:rFonts w:cstheme="minorHAnsi"/>
        </w:rPr>
        <w:t>Πραβίτα</w:t>
      </w:r>
      <w:proofErr w:type="spellEnd"/>
      <w:r w:rsidRPr="00584EE9">
        <w:rPr>
          <w:rFonts w:cstheme="minorHAnsi"/>
        </w:rPr>
        <w:t xml:space="preserve">, </w:t>
      </w:r>
      <w:bookmarkEnd w:id="0"/>
      <w:r w:rsidRPr="00584EE9">
        <w:rPr>
          <w:rFonts w:cstheme="minorHAnsi"/>
        </w:rPr>
        <w:t xml:space="preserve">Μ.Η. (2012). </w:t>
      </w:r>
      <w:r w:rsidRPr="00584EE9">
        <w:rPr>
          <w:rFonts w:cstheme="minorHAnsi"/>
          <w:i/>
          <w:iCs/>
        </w:rPr>
        <w:t xml:space="preserve">Διοικητική Επιστήμη </w:t>
      </w:r>
      <w:r w:rsidRPr="00584EE9">
        <w:rPr>
          <w:rFonts w:cstheme="minorHAnsi"/>
          <w:i/>
          <w:iCs/>
          <w:lang w:val="en-US"/>
        </w:rPr>
        <w:t>I</w:t>
      </w:r>
      <w:r w:rsidRPr="00584EE9">
        <w:rPr>
          <w:rFonts w:cstheme="minorHAnsi"/>
          <w:i/>
          <w:iCs/>
        </w:rPr>
        <w:t>: Δημόσια Διοίκηση. Στοιχεία Διοικητικής οργάνωσης</w:t>
      </w:r>
      <w:r w:rsidR="005F2E74" w:rsidRPr="00584EE9">
        <w:rPr>
          <w:rFonts w:cstheme="minorHAnsi"/>
          <w:i/>
          <w:iCs/>
        </w:rPr>
        <w:t xml:space="preserve">. </w:t>
      </w:r>
      <w:r w:rsidRPr="00584EE9">
        <w:rPr>
          <w:rFonts w:cstheme="minorHAnsi"/>
        </w:rPr>
        <w:t>Ε΄ Έκδοση</w:t>
      </w:r>
      <w:r w:rsidRPr="00584EE9">
        <w:rPr>
          <w:rFonts w:cstheme="minorHAnsi"/>
          <w:i/>
          <w:iCs/>
        </w:rPr>
        <w:t xml:space="preserve">. </w:t>
      </w:r>
      <w:r w:rsidRPr="00584EE9">
        <w:rPr>
          <w:rFonts w:cstheme="minorHAnsi"/>
        </w:rPr>
        <w:t xml:space="preserve">Εκδόσεις </w:t>
      </w:r>
      <w:proofErr w:type="spellStart"/>
      <w:r w:rsidRPr="00584EE9">
        <w:rPr>
          <w:rFonts w:cstheme="minorHAnsi"/>
        </w:rPr>
        <w:t>Σάκκουλα</w:t>
      </w:r>
      <w:proofErr w:type="spellEnd"/>
      <w:r w:rsidRPr="00584EE9">
        <w:rPr>
          <w:rFonts w:cstheme="minorHAnsi"/>
        </w:rPr>
        <w:t>.</w:t>
      </w:r>
    </w:p>
    <w:p w:rsidR="009B657D" w:rsidRPr="00584EE9" w:rsidRDefault="009B657D" w:rsidP="0084207E">
      <w:pPr>
        <w:spacing w:after="0" w:line="240" w:lineRule="auto"/>
        <w:jc w:val="both"/>
        <w:rPr>
          <w:rFonts w:cstheme="minorHAnsi"/>
        </w:rPr>
      </w:pPr>
      <w:proofErr w:type="spellStart"/>
      <w:r w:rsidRPr="00584EE9">
        <w:rPr>
          <w:rFonts w:cstheme="minorHAnsi"/>
        </w:rPr>
        <w:t>Παπαλεξανδρή</w:t>
      </w:r>
      <w:proofErr w:type="spellEnd"/>
      <w:r w:rsidRPr="00584EE9">
        <w:rPr>
          <w:rFonts w:cstheme="minorHAnsi"/>
        </w:rPr>
        <w:t xml:space="preserve">, Ν., &amp; </w:t>
      </w:r>
      <w:proofErr w:type="spellStart"/>
      <w:r w:rsidRPr="00584EE9">
        <w:rPr>
          <w:rFonts w:cstheme="minorHAnsi"/>
        </w:rPr>
        <w:t>Μπουραντάς</w:t>
      </w:r>
      <w:proofErr w:type="spellEnd"/>
      <w:r w:rsidRPr="00584EE9">
        <w:rPr>
          <w:rFonts w:cstheme="minorHAnsi"/>
        </w:rPr>
        <w:t xml:space="preserve">, Δ. (2008). </w:t>
      </w:r>
      <w:r w:rsidRPr="00584EE9">
        <w:rPr>
          <w:rFonts w:cstheme="minorHAnsi"/>
          <w:i/>
          <w:iCs/>
        </w:rPr>
        <w:t>Διοίκηση ανθρωπίνου δυναμικού</w:t>
      </w:r>
      <w:r w:rsidRPr="00584EE9">
        <w:rPr>
          <w:rFonts w:cstheme="minorHAnsi"/>
        </w:rPr>
        <w:t>. Αθήνα, Εκδόσεις Μπένου.</w:t>
      </w:r>
    </w:p>
    <w:p w:rsidR="00261AD2" w:rsidRPr="009B657D" w:rsidRDefault="009B657D" w:rsidP="0084207E">
      <w:pPr>
        <w:spacing w:after="0" w:line="240" w:lineRule="auto"/>
        <w:jc w:val="both"/>
        <w:rPr>
          <w:rFonts w:cstheme="minorHAnsi"/>
          <w:sz w:val="24"/>
          <w:szCs w:val="24"/>
        </w:rPr>
      </w:pPr>
      <w:proofErr w:type="gramStart"/>
      <w:r w:rsidRPr="008609F0">
        <w:rPr>
          <w:rFonts w:cstheme="minorHAnsi"/>
          <w:sz w:val="24"/>
          <w:szCs w:val="24"/>
          <w:lang w:val="en-US"/>
        </w:rPr>
        <w:t>Robbins, S.P. &amp; Judge, T.A. (2018).</w:t>
      </w:r>
      <w:proofErr w:type="gramEnd"/>
      <w:r w:rsidRPr="008609F0">
        <w:rPr>
          <w:rFonts w:cstheme="minorHAnsi"/>
          <w:sz w:val="24"/>
          <w:szCs w:val="24"/>
          <w:lang w:val="en-US"/>
        </w:rPr>
        <w:t xml:space="preserve"> </w:t>
      </w:r>
      <w:r w:rsidRPr="009B657D">
        <w:rPr>
          <w:rFonts w:cstheme="minorHAnsi"/>
          <w:i/>
          <w:iCs/>
          <w:sz w:val="24"/>
          <w:szCs w:val="24"/>
        </w:rPr>
        <w:t>Οργανωσιακή συμπεριφορά. Βασικές έννοιες και σύγχρονες προσεγγίσεις.</w:t>
      </w:r>
      <w:r w:rsidRPr="009B657D">
        <w:rPr>
          <w:rFonts w:cstheme="minorHAnsi"/>
          <w:sz w:val="24"/>
          <w:szCs w:val="24"/>
        </w:rPr>
        <w:t xml:space="preserve"> (Α. </w:t>
      </w:r>
      <w:proofErr w:type="spellStart"/>
      <w:r w:rsidRPr="009B657D">
        <w:rPr>
          <w:rFonts w:cstheme="minorHAnsi"/>
          <w:sz w:val="24"/>
          <w:szCs w:val="24"/>
        </w:rPr>
        <w:t>Πλατάκη</w:t>
      </w:r>
      <w:proofErr w:type="spellEnd"/>
      <w:r w:rsidRPr="009B657D">
        <w:rPr>
          <w:rFonts w:cstheme="minorHAnsi"/>
          <w:sz w:val="24"/>
          <w:szCs w:val="24"/>
        </w:rPr>
        <w:t xml:space="preserve">, Μετ.). </w:t>
      </w:r>
      <w:r w:rsidR="005F2E74">
        <w:rPr>
          <w:rFonts w:cstheme="minorHAnsi"/>
          <w:sz w:val="24"/>
          <w:szCs w:val="24"/>
        </w:rPr>
        <w:t>Β΄</w:t>
      </w:r>
      <w:r w:rsidRPr="009B657D">
        <w:rPr>
          <w:rFonts w:cstheme="minorHAnsi"/>
          <w:sz w:val="24"/>
          <w:szCs w:val="24"/>
        </w:rPr>
        <w:t xml:space="preserve"> ελληνική έκδοση. Κριτική.</w:t>
      </w:r>
    </w:p>
    <w:sectPr w:rsidR="00261AD2" w:rsidRPr="009B657D" w:rsidSect="002C0056">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80" w:rsidRDefault="00820480" w:rsidP="00925B28">
      <w:pPr>
        <w:spacing w:after="0" w:line="240" w:lineRule="auto"/>
      </w:pPr>
      <w:r>
        <w:separator/>
      </w:r>
    </w:p>
  </w:endnote>
  <w:endnote w:type="continuationSeparator" w:id="0">
    <w:p w:rsidR="00820480" w:rsidRDefault="00820480" w:rsidP="0092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108425"/>
      <w:docPartObj>
        <w:docPartGallery w:val="Page Numbers (Bottom of Page)"/>
        <w:docPartUnique/>
      </w:docPartObj>
    </w:sdtPr>
    <w:sdtContent>
      <w:p w:rsidR="00925B28" w:rsidRDefault="00925B28">
        <w:pPr>
          <w:pStyle w:val="a5"/>
          <w:jc w:val="center"/>
        </w:pPr>
        <w:r>
          <w:t>[</w:t>
        </w:r>
        <w:r w:rsidR="00463949">
          <w:fldChar w:fldCharType="begin"/>
        </w:r>
        <w:r>
          <w:instrText>PAGE   \* MERGEFORMAT</w:instrText>
        </w:r>
        <w:r w:rsidR="00463949">
          <w:fldChar w:fldCharType="separate"/>
        </w:r>
        <w:r w:rsidR="003C5D91">
          <w:rPr>
            <w:noProof/>
          </w:rPr>
          <w:t>3</w:t>
        </w:r>
        <w:r w:rsidR="00463949">
          <w:fldChar w:fldCharType="end"/>
        </w:r>
        <w:r>
          <w:t>]</w:t>
        </w:r>
      </w:p>
    </w:sdtContent>
  </w:sdt>
  <w:p w:rsidR="00925B28" w:rsidRDefault="00925B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80" w:rsidRDefault="00820480" w:rsidP="00925B28">
      <w:pPr>
        <w:spacing w:after="0" w:line="240" w:lineRule="auto"/>
      </w:pPr>
      <w:r>
        <w:separator/>
      </w:r>
    </w:p>
  </w:footnote>
  <w:footnote w:type="continuationSeparator" w:id="0">
    <w:p w:rsidR="00820480" w:rsidRDefault="00820480" w:rsidP="0092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38"/>
    <w:multiLevelType w:val="hybridMultilevel"/>
    <w:tmpl w:val="C83EA1FE"/>
    <w:lvl w:ilvl="0" w:tplc="1700A93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826840"/>
    <w:multiLevelType w:val="hybridMultilevel"/>
    <w:tmpl w:val="7548EBE2"/>
    <w:lvl w:ilvl="0" w:tplc="48F8AEE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2CC3D4B"/>
    <w:multiLevelType w:val="hybridMultilevel"/>
    <w:tmpl w:val="F7DEB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551CBE"/>
    <w:multiLevelType w:val="hybridMultilevel"/>
    <w:tmpl w:val="CA500EAE"/>
    <w:lvl w:ilvl="0" w:tplc="0408000D">
      <w:start w:val="1"/>
      <w:numFmt w:val="bullet"/>
      <w:lvlText w:val=""/>
      <w:lvlJc w:val="left"/>
      <w:pPr>
        <w:ind w:left="2062"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
    <w:nsid w:val="34916FD2"/>
    <w:multiLevelType w:val="hybridMultilevel"/>
    <w:tmpl w:val="8292979E"/>
    <w:lvl w:ilvl="0" w:tplc="5618523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55FB51F9"/>
    <w:multiLevelType w:val="hybridMultilevel"/>
    <w:tmpl w:val="2CFE6C54"/>
    <w:lvl w:ilvl="0" w:tplc="4AD40E26">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77E7705"/>
    <w:multiLevelType w:val="hybridMultilevel"/>
    <w:tmpl w:val="28688F2E"/>
    <w:lvl w:ilvl="0" w:tplc="1298CC24">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18D0"/>
    <w:rsid w:val="00092178"/>
    <w:rsid w:val="000C746E"/>
    <w:rsid w:val="0015192A"/>
    <w:rsid w:val="001D1A15"/>
    <w:rsid w:val="001E2D2D"/>
    <w:rsid w:val="001F70ED"/>
    <w:rsid w:val="002118D0"/>
    <w:rsid w:val="00237002"/>
    <w:rsid w:val="00261AD2"/>
    <w:rsid w:val="00286538"/>
    <w:rsid w:val="002C0056"/>
    <w:rsid w:val="00303B83"/>
    <w:rsid w:val="00311C79"/>
    <w:rsid w:val="00311DE9"/>
    <w:rsid w:val="003305B2"/>
    <w:rsid w:val="00351B57"/>
    <w:rsid w:val="00364E49"/>
    <w:rsid w:val="0037064E"/>
    <w:rsid w:val="003C5D91"/>
    <w:rsid w:val="00463949"/>
    <w:rsid w:val="004C13FA"/>
    <w:rsid w:val="004C2937"/>
    <w:rsid w:val="004D6A26"/>
    <w:rsid w:val="004D7539"/>
    <w:rsid w:val="004F5917"/>
    <w:rsid w:val="00530920"/>
    <w:rsid w:val="00540811"/>
    <w:rsid w:val="005417B3"/>
    <w:rsid w:val="00571A2F"/>
    <w:rsid w:val="00584EE9"/>
    <w:rsid w:val="005F2E74"/>
    <w:rsid w:val="0066025B"/>
    <w:rsid w:val="006D4D72"/>
    <w:rsid w:val="0075664C"/>
    <w:rsid w:val="00777D96"/>
    <w:rsid w:val="007B5740"/>
    <w:rsid w:val="007B65B6"/>
    <w:rsid w:val="007B661C"/>
    <w:rsid w:val="007D22CD"/>
    <w:rsid w:val="007E088D"/>
    <w:rsid w:val="007E7AA3"/>
    <w:rsid w:val="00820480"/>
    <w:rsid w:val="0084207E"/>
    <w:rsid w:val="008609F0"/>
    <w:rsid w:val="00871847"/>
    <w:rsid w:val="008875F0"/>
    <w:rsid w:val="008B025B"/>
    <w:rsid w:val="008B2C4E"/>
    <w:rsid w:val="008D231A"/>
    <w:rsid w:val="008D686F"/>
    <w:rsid w:val="008F1688"/>
    <w:rsid w:val="00924C66"/>
    <w:rsid w:val="00925B28"/>
    <w:rsid w:val="009352F9"/>
    <w:rsid w:val="009B2AB4"/>
    <w:rsid w:val="009B657D"/>
    <w:rsid w:val="009E5A9C"/>
    <w:rsid w:val="00A14BD9"/>
    <w:rsid w:val="00A2153C"/>
    <w:rsid w:val="00A40C69"/>
    <w:rsid w:val="00A80814"/>
    <w:rsid w:val="00AE4A14"/>
    <w:rsid w:val="00B152B3"/>
    <w:rsid w:val="00B3645E"/>
    <w:rsid w:val="00B77957"/>
    <w:rsid w:val="00BC0B42"/>
    <w:rsid w:val="00C06916"/>
    <w:rsid w:val="00C10823"/>
    <w:rsid w:val="00C92AFF"/>
    <w:rsid w:val="00D443A8"/>
    <w:rsid w:val="00DE4BF1"/>
    <w:rsid w:val="00E27CF2"/>
    <w:rsid w:val="00E55648"/>
    <w:rsid w:val="00E90603"/>
    <w:rsid w:val="00EA73F7"/>
    <w:rsid w:val="00F20587"/>
    <w:rsid w:val="00F325FC"/>
    <w:rsid w:val="00F9100C"/>
    <w:rsid w:val="00F937DC"/>
    <w:rsid w:val="00FE593E"/>
    <w:rsid w:val="00FF50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0E1"/>
    <w:pPr>
      <w:ind w:left="720"/>
      <w:contextualSpacing/>
    </w:pPr>
  </w:style>
  <w:style w:type="paragraph" w:styleId="a4">
    <w:name w:val="header"/>
    <w:basedOn w:val="a"/>
    <w:link w:val="Char"/>
    <w:uiPriority w:val="99"/>
    <w:unhideWhenUsed/>
    <w:rsid w:val="00925B28"/>
    <w:pPr>
      <w:tabs>
        <w:tab w:val="center" w:pos="4153"/>
        <w:tab w:val="right" w:pos="8306"/>
      </w:tabs>
      <w:spacing w:after="0" w:line="240" w:lineRule="auto"/>
    </w:pPr>
  </w:style>
  <w:style w:type="character" w:customStyle="1" w:styleId="Char">
    <w:name w:val="Κεφαλίδα Char"/>
    <w:basedOn w:val="a0"/>
    <w:link w:val="a4"/>
    <w:uiPriority w:val="99"/>
    <w:rsid w:val="00925B28"/>
  </w:style>
  <w:style w:type="paragraph" w:styleId="a5">
    <w:name w:val="footer"/>
    <w:basedOn w:val="a"/>
    <w:link w:val="Char0"/>
    <w:uiPriority w:val="99"/>
    <w:unhideWhenUsed/>
    <w:rsid w:val="00925B28"/>
    <w:pPr>
      <w:tabs>
        <w:tab w:val="center" w:pos="4153"/>
        <w:tab w:val="right" w:pos="8306"/>
      </w:tabs>
      <w:spacing w:after="0" w:line="240" w:lineRule="auto"/>
    </w:pPr>
  </w:style>
  <w:style w:type="character" w:customStyle="1" w:styleId="Char0">
    <w:name w:val="Υποσέλιδο Char"/>
    <w:basedOn w:val="a0"/>
    <w:link w:val="a5"/>
    <w:uiPriority w:val="99"/>
    <w:rsid w:val="00925B28"/>
  </w:style>
  <w:style w:type="paragraph" w:customStyle="1" w:styleId="Default">
    <w:name w:val="Default"/>
    <w:rsid w:val="0084207E"/>
    <w:pPr>
      <w:autoSpaceDE w:val="0"/>
      <w:autoSpaceDN w:val="0"/>
      <w:adjustRightInd w:val="0"/>
      <w:spacing w:after="0" w:line="240" w:lineRule="auto"/>
    </w:pPr>
    <w:rPr>
      <w:rFonts w:ascii="Tahoma" w:eastAsia="Calibri" w:hAnsi="Tahoma" w:cs="Tahoma"/>
      <w:color w:val="000000"/>
      <w:kern w:val="0"/>
      <w:sz w:val="24"/>
      <w:szCs w:val="24"/>
    </w:rPr>
  </w:style>
  <w:style w:type="character" w:styleId="-">
    <w:name w:val="Hyperlink"/>
    <w:uiPriority w:val="99"/>
    <w:unhideWhenUsed/>
    <w:rsid w:val="0084207E"/>
    <w:rPr>
      <w:color w:val="0000FF"/>
      <w:u w:val="single"/>
    </w:rPr>
  </w:style>
  <w:style w:type="paragraph" w:styleId="a6">
    <w:name w:val="Balloon Text"/>
    <w:basedOn w:val="a"/>
    <w:link w:val="Char1"/>
    <w:uiPriority w:val="99"/>
    <w:semiHidden/>
    <w:unhideWhenUsed/>
    <w:rsid w:val="0084207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42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mospondia@minedu.gov.gr" TargetMode="External"/><Relationship Id="rId4" Type="http://schemas.openxmlformats.org/officeDocument/2006/relationships/settings" Target="settings.xml"/><Relationship Id="rId9" Type="http://schemas.openxmlformats.org/officeDocument/2006/relationships/hyperlink" Target="http://www.osekdy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FD0673-F403-4A5D-9475-C975A5C75850}">
  <we:reference id="wa104382081" version="1.55.1.0" store="en-US" storeType="OMEX"/>
  <we:alternateReferences>
    <we:reference id="wa104382081" version="1.55.1.0" store=""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958A-4DB4-416B-AC9F-F76678FB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961</Words>
  <Characters>5190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Panta</dc:creator>
  <cp:keywords/>
  <dc:description/>
  <cp:lastModifiedBy>Quest User</cp:lastModifiedBy>
  <cp:revision>6</cp:revision>
  <dcterms:created xsi:type="dcterms:W3CDTF">2023-10-23T06:01:00Z</dcterms:created>
  <dcterms:modified xsi:type="dcterms:W3CDTF">2023-10-27T07:40:00Z</dcterms:modified>
</cp:coreProperties>
</file>